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sidR="00C4738A">
        <w:rPr>
          <w:sz w:val="24"/>
          <w:szCs w:val="24"/>
        </w:rPr>
        <w:tab/>
        <w:t xml:space="preserve">119 </w:t>
      </w:r>
      <w:r w:rsidR="001B5398">
        <w:rPr>
          <w:sz w:val="24"/>
          <w:szCs w:val="24"/>
        </w:rPr>
        <w:t>-</w:t>
      </w:r>
      <w:r w:rsidR="00C4738A">
        <w:rPr>
          <w:sz w:val="24"/>
          <w:szCs w:val="24"/>
        </w:rPr>
        <w:t xml:space="preserve"> </w:t>
      </w:r>
      <w:r w:rsidR="001B5398">
        <w:rPr>
          <w:sz w:val="24"/>
          <w:szCs w:val="24"/>
        </w:rPr>
        <w:t>16</w:t>
      </w:r>
      <w:r w:rsidR="001B4D8D">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FF3E3A">
      <w:pPr>
        <w:rPr>
          <w:sz w:val="24"/>
          <w:szCs w:val="24"/>
        </w:rPr>
      </w:pPr>
      <w:r>
        <w:rPr>
          <w:sz w:val="24"/>
          <w:szCs w:val="24"/>
        </w:rPr>
        <w:t xml:space="preserve">Saksbehandler: </w:t>
      </w:r>
      <w:r w:rsidR="004D34D5">
        <w:rPr>
          <w:sz w:val="24"/>
          <w:szCs w:val="24"/>
        </w:rPr>
        <w:tab/>
      </w:r>
      <w:r>
        <w:rPr>
          <w:sz w:val="24"/>
          <w:szCs w:val="24"/>
        </w:rPr>
        <w:t>Jarle Angelsen</w:t>
      </w:r>
    </w:p>
    <w:p w:rsidR="009873D1" w:rsidRDefault="009873D1">
      <w:pPr>
        <w:rPr>
          <w:sz w:val="24"/>
          <w:szCs w:val="24"/>
        </w:rPr>
      </w:pPr>
    </w:p>
    <w:p w:rsidR="004C093A" w:rsidRPr="0068205E" w:rsidRDefault="004C093A">
      <w:pPr>
        <w:rPr>
          <w:sz w:val="24"/>
          <w:szCs w:val="24"/>
        </w:rPr>
      </w:pPr>
      <w:r>
        <w:rPr>
          <w:sz w:val="24"/>
          <w:szCs w:val="24"/>
        </w:rPr>
        <w:t>Behandles av:</w:t>
      </w:r>
      <w:r>
        <w:rPr>
          <w:sz w:val="24"/>
          <w:szCs w:val="24"/>
        </w:rPr>
        <w:tab/>
      </w:r>
      <w:r w:rsidR="0068205E">
        <w:rPr>
          <w:sz w:val="24"/>
          <w:szCs w:val="24"/>
        </w:rPr>
        <w:tab/>
      </w:r>
      <w:r>
        <w:rPr>
          <w:sz w:val="24"/>
          <w:szCs w:val="24"/>
        </w:rPr>
        <w:tab/>
      </w:r>
      <w:r w:rsidR="00B30CC1">
        <w:rPr>
          <w:sz w:val="24"/>
          <w:szCs w:val="24"/>
        </w:rPr>
        <w:tab/>
      </w:r>
      <w:r w:rsidR="0068205E">
        <w:rPr>
          <w:sz w:val="24"/>
          <w:szCs w:val="24"/>
        </w:rPr>
        <w:tab/>
      </w:r>
      <w:r w:rsidR="0068205E">
        <w:rPr>
          <w:sz w:val="24"/>
          <w:szCs w:val="24"/>
        </w:rPr>
        <w:tab/>
      </w:r>
      <w:r w:rsidR="001B5398">
        <w:rPr>
          <w:sz w:val="24"/>
          <w:szCs w:val="24"/>
        </w:rPr>
        <w:tab/>
      </w:r>
      <w:r w:rsidR="001B5398">
        <w:rPr>
          <w:sz w:val="24"/>
          <w:szCs w:val="24"/>
        </w:rPr>
        <w:tab/>
      </w:r>
      <w:r>
        <w:rPr>
          <w:sz w:val="24"/>
          <w:szCs w:val="24"/>
        </w:rPr>
        <w:t>Møtedato:</w:t>
      </w:r>
      <w:r w:rsidR="009435FB">
        <w:rPr>
          <w:sz w:val="24"/>
          <w:szCs w:val="24"/>
        </w:rPr>
        <w:tab/>
      </w:r>
    </w:p>
    <w:p w:rsidR="008209BE" w:rsidRDefault="0068205E">
      <w:pPr>
        <w:rPr>
          <w:b/>
          <w:sz w:val="28"/>
          <w:szCs w:val="28"/>
          <w:u w:val="single"/>
        </w:rPr>
      </w:pPr>
      <w:r>
        <w:rPr>
          <w:sz w:val="24"/>
          <w:szCs w:val="24"/>
        </w:rPr>
        <w:t>Sandnes Eiendomsselskap KF</w:t>
      </w:r>
      <w:r>
        <w:rPr>
          <w:sz w:val="24"/>
          <w:szCs w:val="24"/>
        </w:rPr>
        <w:tab/>
      </w:r>
      <w:r>
        <w:rPr>
          <w:sz w:val="24"/>
          <w:szCs w:val="24"/>
        </w:rPr>
        <w:tab/>
      </w:r>
      <w:r>
        <w:rPr>
          <w:sz w:val="24"/>
          <w:szCs w:val="24"/>
        </w:rPr>
        <w:tab/>
      </w:r>
      <w:r>
        <w:rPr>
          <w:sz w:val="24"/>
          <w:szCs w:val="24"/>
        </w:rPr>
        <w:tab/>
      </w:r>
      <w:r w:rsidR="001B5398">
        <w:rPr>
          <w:sz w:val="24"/>
          <w:szCs w:val="24"/>
        </w:rPr>
        <w:tab/>
      </w:r>
      <w:r w:rsidR="001B5398">
        <w:rPr>
          <w:sz w:val="24"/>
          <w:szCs w:val="24"/>
        </w:rPr>
        <w:tab/>
      </w:r>
      <w:r w:rsidR="00F00E2D">
        <w:rPr>
          <w:sz w:val="24"/>
          <w:szCs w:val="24"/>
        </w:rPr>
        <w:t>28.0</w:t>
      </w:r>
      <w:r w:rsidR="00060EC1">
        <w:rPr>
          <w:sz w:val="24"/>
          <w:szCs w:val="24"/>
        </w:rPr>
        <w:t>9</w:t>
      </w:r>
      <w:r w:rsidR="001B4D8D">
        <w:rPr>
          <w:sz w:val="24"/>
          <w:szCs w:val="24"/>
        </w:rPr>
        <w:t>.2016</w:t>
      </w:r>
    </w:p>
    <w:p w:rsidR="0068205E" w:rsidRDefault="0068205E">
      <w:pPr>
        <w:rPr>
          <w:b/>
          <w:sz w:val="28"/>
          <w:szCs w:val="28"/>
          <w:u w:val="single"/>
        </w:rPr>
      </w:pPr>
    </w:p>
    <w:p w:rsidR="00E31E93" w:rsidRDefault="00060EC1">
      <w:pPr>
        <w:rPr>
          <w:b/>
          <w:sz w:val="28"/>
          <w:szCs w:val="28"/>
          <w:u w:val="single"/>
        </w:rPr>
      </w:pPr>
      <w:r>
        <w:rPr>
          <w:b/>
          <w:sz w:val="28"/>
          <w:szCs w:val="28"/>
          <w:u w:val="single"/>
        </w:rPr>
        <w:t>Kostnadskalkyle og usikkerhetsanalys</w:t>
      </w:r>
      <w:r w:rsidR="00B5132B">
        <w:rPr>
          <w:b/>
          <w:sz w:val="28"/>
          <w:szCs w:val="28"/>
          <w:u w:val="single"/>
        </w:rPr>
        <w:t>e basert på detaljprosjektering</w:t>
      </w:r>
      <w:r>
        <w:rPr>
          <w:b/>
          <w:sz w:val="28"/>
          <w:szCs w:val="28"/>
          <w:u w:val="single"/>
        </w:rPr>
        <w:t xml:space="preserve"> </w:t>
      </w:r>
      <w:r w:rsidR="001B4D8D">
        <w:rPr>
          <w:b/>
          <w:sz w:val="28"/>
          <w:szCs w:val="28"/>
          <w:u w:val="single"/>
        </w:rPr>
        <w:t>– Nytt rådhus</w:t>
      </w:r>
      <w:r w:rsidR="001B5398">
        <w:rPr>
          <w:b/>
          <w:sz w:val="28"/>
          <w:szCs w:val="28"/>
          <w:u w:val="single"/>
        </w:rPr>
        <w:t>, pnr. 10001</w:t>
      </w:r>
      <w:r w:rsidR="00B95066">
        <w:rPr>
          <w:b/>
          <w:sz w:val="28"/>
          <w:szCs w:val="28"/>
          <w:u w:val="single"/>
        </w:rPr>
        <w:t xml:space="preserve">. </w:t>
      </w:r>
    </w:p>
    <w:p w:rsidR="001B5398" w:rsidRDefault="001B5398">
      <w:pPr>
        <w:rPr>
          <w:b/>
          <w:sz w:val="28"/>
          <w:szCs w:val="28"/>
          <w:u w:val="single"/>
        </w:rPr>
      </w:pPr>
    </w:p>
    <w:p w:rsidR="00B107B7" w:rsidRDefault="00840D34">
      <w:pPr>
        <w:rPr>
          <w:sz w:val="28"/>
          <w:szCs w:val="28"/>
        </w:rPr>
      </w:pPr>
      <w:r>
        <w:rPr>
          <w:b/>
          <w:sz w:val="28"/>
          <w:szCs w:val="28"/>
          <w:u w:val="single"/>
        </w:rPr>
        <w:t>Bakgrunn</w:t>
      </w:r>
      <w:r w:rsidR="00530339">
        <w:rPr>
          <w:b/>
          <w:sz w:val="28"/>
          <w:szCs w:val="28"/>
          <w:u w:val="single"/>
        </w:rPr>
        <w:t xml:space="preserve"> for saken</w:t>
      </w:r>
      <w:r w:rsidR="00265A6A">
        <w:rPr>
          <w:b/>
          <w:sz w:val="28"/>
          <w:szCs w:val="28"/>
          <w:u w:val="single"/>
        </w:rPr>
        <w:t>:</w:t>
      </w:r>
    </w:p>
    <w:p w:rsidR="00E64D9C" w:rsidRDefault="00530339" w:rsidP="00E64D9C">
      <w:pPr>
        <w:overflowPunct w:val="0"/>
        <w:autoSpaceDE w:val="0"/>
        <w:autoSpaceDN w:val="0"/>
        <w:adjustRightInd w:val="0"/>
        <w:textAlignment w:val="baseline"/>
      </w:pPr>
      <w:r>
        <w:t>I denne s</w:t>
      </w:r>
      <w:r w:rsidR="005743C2">
        <w:t xml:space="preserve">aken fremlegger daglig leder </w:t>
      </w:r>
      <w:r w:rsidR="00F37330">
        <w:t xml:space="preserve">vurdering av </w:t>
      </w:r>
      <w:r w:rsidR="00060EC1">
        <w:t>kostnadskalkyle og usikkerhetsanalyse</w:t>
      </w:r>
      <w:r w:rsidR="00F37330">
        <w:t xml:space="preserve"> </w:t>
      </w:r>
      <w:r w:rsidR="00060EC1">
        <w:t xml:space="preserve">basert på detaljprosjektering </w:t>
      </w:r>
      <w:r w:rsidR="00F37330">
        <w:t xml:space="preserve">for </w:t>
      </w:r>
      <w:r w:rsidR="00CB6B7E">
        <w:t>nytt rådhus.</w:t>
      </w:r>
    </w:p>
    <w:p w:rsidR="00720FD8" w:rsidRDefault="00265A6A" w:rsidP="00B30221">
      <w:pPr>
        <w:rPr>
          <w:b/>
          <w:sz w:val="28"/>
          <w:szCs w:val="28"/>
          <w:u w:val="single"/>
        </w:rPr>
      </w:pPr>
      <w:r>
        <w:rPr>
          <w:b/>
          <w:sz w:val="28"/>
          <w:szCs w:val="28"/>
          <w:u w:val="single"/>
        </w:rPr>
        <w:t>Saksopplysninger:</w:t>
      </w:r>
    </w:p>
    <w:p w:rsidR="00E4103B" w:rsidRPr="00AC3EEE" w:rsidRDefault="00E4103B" w:rsidP="00E4103B">
      <w:r>
        <w:t>I</w:t>
      </w:r>
      <w:r w:rsidRPr="005536FF">
        <w:t xml:space="preserve"> økonomiplan 2016-2019 </w:t>
      </w:r>
      <w:r w:rsidR="00A86DA9">
        <w:t>er det avsatt</w:t>
      </w:r>
      <w:r w:rsidRPr="005536FF">
        <w:t xml:space="preserve"> 390 MNOK til bygging av nytt rådhus for kommunens kjernevirksomhet</w:t>
      </w:r>
      <w:r w:rsidR="00F92E8D">
        <w:t>:</w:t>
      </w:r>
    </w:p>
    <w:tbl>
      <w:tblPr>
        <w:tblW w:w="8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1418"/>
        <w:gridCol w:w="1134"/>
        <w:gridCol w:w="992"/>
        <w:gridCol w:w="992"/>
        <w:gridCol w:w="993"/>
        <w:gridCol w:w="992"/>
      </w:tblGrid>
      <w:tr w:rsidR="00E4103B" w:rsidRPr="00AC3EEE" w:rsidTr="00515371">
        <w:trPr>
          <w:cantSplit/>
        </w:trPr>
        <w:tc>
          <w:tcPr>
            <w:tcW w:w="2338" w:type="dxa"/>
          </w:tcPr>
          <w:p w:rsidR="00E4103B" w:rsidRPr="00AC3EEE" w:rsidRDefault="00E4103B" w:rsidP="00515371">
            <w:pPr>
              <w:spacing w:line="240" w:lineRule="auto"/>
              <w:jc w:val="center"/>
              <w:rPr>
                <w:b/>
              </w:rPr>
            </w:pPr>
            <w:r w:rsidRPr="00AC3EEE">
              <w:rPr>
                <w:b/>
              </w:rPr>
              <w:t>Prosjekt</w:t>
            </w:r>
          </w:p>
        </w:tc>
        <w:tc>
          <w:tcPr>
            <w:tcW w:w="1418" w:type="dxa"/>
          </w:tcPr>
          <w:p w:rsidR="00E4103B" w:rsidRPr="00AC3EEE" w:rsidRDefault="00E4103B" w:rsidP="00515371">
            <w:pPr>
              <w:spacing w:line="240" w:lineRule="auto"/>
              <w:jc w:val="center"/>
              <w:rPr>
                <w:b/>
              </w:rPr>
            </w:pPr>
            <w:r w:rsidRPr="00AC3EEE">
              <w:rPr>
                <w:b/>
              </w:rPr>
              <w:t>Budsjett</w:t>
            </w:r>
          </w:p>
        </w:tc>
        <w:tc>
          <w:tcPr>
            <w:tcW w:w="1134" w:type="dxa"/>
          </w:tcPr>
          <w:p w:rsidR="00E4103B" w:rsidRPr="00AC3EEE" w:rsidRDefault="00E4103B" w:rsidP="00515371">
            <w:pPr>
              <w:spacing w:line="240" w:lineRule="auto"/>
              <w:jc w:val="center"/>
              <w:rPr>
                <w:b/>
              </w:rPr>
            </w:pPr>
            <w:r w:rsidRPr="00AC3EEE">
              <w:rPr>
                <w:b/>
              </w:rPr>
              <w:t>Bevilget før</w:t>
            </w:r>
          </w:p>
        </w:tc>
        <w:tc>
          <w:tcPr>
            <w:tcW w:w="992" w:type="dxa"/>
          </w:tcPr>
          <w:p w:rsidR="00E4103B" w:rsidRPr="00AC3EEE" w:rsidRDefault="00E4103B" w:rsidP="00515371">
            <w:pPr>
              <w:spacing w:line="240" w:lineRule="auto"/>
              <w:jc w:val="center"/>
              <w:rPr>
                <w:b/>
              </w:rPr>
            </w:pPr>
            <w:r w:rsidRPr="00AC3EEE">
              <w:rPr>
                <w:b/>
              </w:rPr>
              <w:t>201</w:t>
            </w:r>
            <w:r>
              <w:rPr>
                <w:b/>
              </w:rPr>
              <w:t>6</w:t>
            </w:r>
          </w:p>
        </w:tc>
        <w:tc>
          <w:tcPr>
            <w:tcW w:w="992" w:type="dxa"/>
          </w:tcPr>
          <w:p w:rsidR="00E4103B" w:rsidRPr="00AC3EEE" w:rsidRDefault="00E4103B" w:rsidP="00515371">
            <w:pPr>
              <w:spacing w:line="240" w:lineRule="auto"/>
              <w:jc w:val="center"/>
              <w:rPr>
                <w:b/>
              </w:rPr>
            </w:pPr>
            <w:r w:rsidRPr="00AC3EEE">
              <w:rPr>
                <w:b/>
              </w:rPr>
              <w:t>201</w:t>
            </w:r>
            <w:r>
              <w:rPr>
                <w:b/>
              </w:rPr>
              <w:t>7</w:t>
            </w:r>
          </w:p>
        </w:tc>
        <w:tc>
          <w:tcPr>
            <w:tcW w:w="993" w:type="dxa"/>
          </w:tcPr>
          <w:p w:rsidR="00E4103B" w:rsidRPr="00AC3EEE" w:rsidRDefault="00E4103B" w:rsidP="00515371">
            <w:pPr>
              <w:spacing w:line="240" w:lineRule="auto"/>
              <w:jc w:val="center"/>
              <w:rPr>
                <w:b/>
              </w:rPr>
            </w:pPr>
            <w:r w:rsidRPr="00AC3EEE">
              <w:rPr>
                <w:b/>
              </w:rPr>
              <w:t>201</w:t>
            </w:r>
            <w:r>
              <w:rPr>
                <w:b/>
              </w:rPr>
              <w:t>8</w:t>
            </w:r>
          </w:p>
        </w:tc>
        <w:tc>
          <w:tcPr>
            <w:tcW w:w="992" w:type="dxa"/>
          </w:tcPr>
          <w:p w:rsidR="00E4103B" w:rsidRPr="00AC3EEE" w:rsidRDefault="00E4103B" w:rsidP="00515371">
            <w:pPr>
              <w:spacing w:line="240" w:lineRule="auto"/>
              <w:jc w:val="center"/>
              <w:rPr>
                <w:b/>
                <w:bCs/>
              </w:rPr>
            </w:pPr>
            <w:r w:rsidRPr="00AC3EEE">
              <w:rPr>
                <w:b/>
                <w:bCs/>
              </w:rPr>
              <w:t>201</w:t>
            </w:r>
            <w:r>
              <w:rPr>
                <w:b/>
                <w:bCs/>
              </w:rPr>
              <w:t>9</w:t>
            </w:r>
          </w:p>
          <w:p w:rsidR="00E4103B" w:rsidRPr="00AC3EEE" w:rsidRDefault="00E4103B" w:rsidP="00515371">
            <w:pPr>
              <w:spacing w:line="240" w:lineRule="auto"/>
              <w:jc w:val="center"/>
              <w:rPr>
                <w:b/>
                <w:bCs/>
              </w:rPr>
            </w:pPr>
          </w:p>
        </w:tc>
      </w:tr>
      <w:tr w:rsidR="00E4103B" w:rsidRPr="00AC3EEE" w:rsidTr="00515371">
        <w:trPr>
          <w:cantSplit/>
        </w:trPr>
        <w:tc>
          <w:tcPr>
            <w:tcW w:w="2338" w:type="dxa"/>
          </w:tcPr>
          <w:p w:rsidR="00E4103B" w:rsidRPr="00AC3EEE" w:rsidRDefault="00E4103B" w:rsidP="00515371">
            <w:pPr>
              <w:spacing w:line="240" w:lineRule="auto"/>
            </w:pPr>
            <w:r>
              <w:t>Prosjektnr:</w:t>
            </w:r>
            <w:r>
              <w:tab/>
              <w:t>10001</w:t>
            </w:r>
          </w:p>
        </w:tc>
        <w:tc>
          <w:tcPr>
            <w:tcW w:w="1418" w:type="dxa"/>
          </w:tcPr>
          <w:p w:rsidR="00E4103B" w:rsidRPr="00AC3EEE" w:rsidRDefault="00E4103B" w:rsidP="00515371">
            <w:pPr>
              <w:spacing w:line="240" w:lineRule="auto"/>
              <w:jc w:val="center"/>
            </w:pPr>
            <w:r>
              <w:t>390 000</w:t>
            </w:r>
          </w:p>
        </w:tc>
        <w:tc>
          <w:tcPr>
            <w:tcW w:w="1134" w:type="dxa"/>
          </w:tcPr>
          <w:p w:rsidR="00E4103B" w:rsidRPr="00AC3EEE" w:rsidRDefault="00E4103B" w:rsidP="00515371">
            <w:pPr>
              <w:spacing w:line="240" w:lineRule="auto"/>
              <w:jc w:val="center"/>
            </w:pPr>
            <w:r>
              <w:t>10900</w:t>
            </w:r>
          </w:p>
        </w:tc>
        <w:tc>
          <w:tcPr>
            <w:tcW w:w="992" w:type="dxa"/>
          </w:tcPr>
          <w:p w:rsidR="00E4103B" w:rsidRPr="00AC3EEE" w:rsidRDefault="00E4103B" w:rsidP="00515371">
            <w:pPr>
              <w:spacing w:line="240" w:lineRule="auto"/>
              <w:jc w:val="center"/>
            </w:pPr>
            <w:r>
              <w:t>134 000</w:t>
            </w:r>
          </w:p>
        </w:tc>
        <w:tc>
          <w:tcPr>
            <w:tcW w:w="992" w:type="dxa"/>
          </w:tcPr>
          <w:p w:rsidR="00E4103B" w:rsidRPr="00AC3EEE" w:rsidRDefault="00E4103B" w:rsidP="00515371">
            <w:pPr>
              <w:spacing w:line="240" w:lineRule="auto"/>
              <w:jc w:val="center"/>
            </w:pPr>
            <w:r>
              <w:t>158 000</w:t>
            </w:r>
          </w:p>
        </w:tc>
        <w:tc>
          <w:tcPr>
            <w:tcW w:w="993" w:type="dxa"/>
          </w:tcPr>
          <w:p w:rsidR="00E4103B" w:rsidRPr="00AC3EEE" w:rsidRDefault="00E4103B" w:rsidP="00515371">
            <w:pPr>
              <w:spacing w:line="240" w:lineRule="auto"/>
              <w:jc w:val="center"/>
            </w:pPr>
            <w:r>
              <w:t>87 100</w:t>
            </w:r>
          </w:p>
        </w:tc>
        <w:tc>
          <w:tcPr>
            <w:tcW w:w="992" w:type="dxa"/>
          </w:tcPr>
          <w:p w:rsidR="00E4103B" w:rsidRPr="00AC3EEE" w:rsidRDefault="00E4103B" w:rsidP="00515371">
            <w:pPr>
              <w:spacing w:line="240" w:lineRule="auto"/>
              <w:jc w:val="center"/>
            </w:pPr>
            <w:r w:rsidRPr="00AC3EEE">
              <w:t>0</w:t>
            </w:r>
          </w:p>
        </w:tc>
      </w:tr>
    </w:tbl>
    <w:p w:rsidR="00F92E8D" w:rsidRDefault="00F92E8D" w:rsidP="00467861"/>
    <w:p w:rsidR="00847FC9" w:rsidRDefault="000F0349" w:rsidP="00467861">
      <w:r>
        <w:t>I sak 16</w:t>
      </w:r>
      <w:r w:rsidR="00F92E8D">
        <w:t xml:space="preserve"> - </w:t>
      </w:r>
      <w:r>
        <w:t xml:space="preserve">16 </w:t>
      </w:r>
      <w:r w:rsidR="00F92E8D">
        <w:t xml:space="preserve">i SEKF </w:t>
      </w:r>
      <w:r w:rsidR="007A17B0">
        <w:t>ble</w:t>
      </w:r>
      <w:r>
        <w:t xml:space="preserve"> Kostnadsoverslag 1 (K1) basert på forprosjekt fremlagt. </w:t>
      </w:r>
      <w:r w:rsidR="00A86DA9">
        <w:t xml:space="preserve">Her </w:t>
      </w:r>
      <w:r w:rsidR="00F76D10">
        <w:t xml:space="preserve">ble </w:t>
      </w:r>
      <w:r w:rsidR="00492B1C">
        <w:t xml:space="preserve">de </w:t>
      </w:r>
      <w:r w:rsidR="00F76D10">
        <w:t>ulike</w:t>
      </w:r>
      <w:r w:rsidR="007A17B0">
        <w:t xml:space="preserve"> elementene i </w:t>
      </w:r>
      <w:r w:rsidR="00235E5D">
        <w:t>bygget</w:t>
      </w:r>
      <w:r w:rsidR="007A17B0">
        <w:t xml:space="preserve"> beskrevet</w:t>
      </w:r>
      <w:r w:rsidR="0004502D">
        <w:t xml:space="preserve"> </w:t>
      </w:r>
      <w:r w:rsidR="00A86DA9">
        <w:t>sam</w:t>
      </w:r>
      <w:r w:rsidR="007A17B0">
        <w:t>t</w:t>
      </w:r>
      <w:r w:rsidR="00A86DA9">
        <w:t xml:space="preserve">idig </w:t>
      </w:r>
      <w:r w:rsidR="00B54786">
        <w:t>som</w:t>
      </w:r>
      <w:r w:rsidR="00235E5D">
        <w:t xml:space="preserve"> </w:t>
      </w:r>
      <w:r w:rsidR="00B54786">
        <w:t xml:space="preserve">det ble gjort </w:t>
      </w:r>
      <w:r w:rsidR="00492B1C">
        <w:t>vurdering</w:t>
      </w:r>
      <w:r w:rsidR="00F578A6">
        <w:t>er</w:t>
      </w:r>
      <w:r w:rsidR="00492B1C">
        <w:t xml:space="preserve"> av </w:t>
      </w:r>
      <w:r w:rsidR="00235E5D">
        <w:t>kostnader og</w:t>
      </w:r>
      <w:r w:rsidR="007A17B0">
        <w:t xml:space="preserve"> markedssituasjon</w:t>
      </w:r>
      <w:r w:rsidR="0004502D">
        <w:t xml:space="preserve">. </w:t>
      </w:r>
      <w:r w:rsidR="007A17B0">
        <w:t xml:space="preserve">Markedet lokalt har </w:t>
      </w:r>
      <w:r w:rsidR="00F92E8D">
        <w:t xml:space="preserve">det siste året </w:t>
      </w:r>
      <w:r w:rsidR="007A17B0">
        <w:t>hatt nedgang og marked</w:t>
      </w:r>
      <w:r w:rsidR="00F76D10">
        <w:t xml:space="preserve">sledende entreprenører vurderte </w:t>
      </w:r>
      <w:r w:rsidR="00F92E8D">
        <w:t xml:space="preserve">kostnadsreduksjonen </w:t>
      </w:r>
      <w:r w:rsidR="00542FE9">
        <w:t>til 8</w:t>
      </w:r>
      <w:r w:rsidR="00F578A6">
        <w:t xml:space="preserve"> </w:t>
      </w:r>
      <w:r w:rsidR="007A17B0">
        <w:t xml:space="preserve">- 20%. I K1 </w:t>
      </w:r>
      <w:r w:rsidR="00F92E8D">
        <w:t xml:space="preserve">la en til grunn en </w:t>
      </w:r>
      <w:r w:rsidR="002628F0">
        <w:t>reduksjon</w:t>
      </w:r>
      <w:r w:rsidR="00847FC9">
        <w:t xml:space="preserve"> </w:t>
      </w:r>
      <w:r w:rsidR="007A17B0">
        <w:t>på 13%</w:t>
      </w:r>
      <w:r w:rsidR="00123FC6">
        <w:t xml:space="preserve">. Med </w:t>
      </w:r>
      <w:r w:rsidR="00847FC9">
        <w:t xml:space="preserve">utgangspunkt i </w:t>
      </w:r>
      <w:r w:rsidR="00123FC6">
        <w:t xml:space="preserve">prosjektkostnad på 441MNOK </w:t>
      </w:r>
      <w:r w:rsidR="00235E5D">
        <w:t xml:space="preserve">og </w:t>
      </w:r>
      <w:r w:rsidR="00F92E8D">
        <w:t>nevnte kostnadsreduksjon lokalt</w:t>
      </w:r>
      <w:r w:rsidR="002628F0">
        <w:t>, ble</w:t>
      </w:r>
      <w:r w:rsidR="00847FC9">
        <w:t xml:space="preserve"> K1</w:t>
      </w:r>
      <w:r w:rsidR="002628F0">
        <w:t xml:space="preserve"> </w:t>
      </w:r>
      <w:r w:rsidR="00F92E8D">
        <w:t xml:space="preserve">kalkulert til </w:t>
      </w:r>
      <w:r w:rsidR="00235E5D">
        <w:t xml:space="preserve">å være </w:t>
      </w:r>
      <w:r w:rsidR="00847FC9">
        <w:t xml:space="preserve">innenfor budsjettrammen på 390MNOK. </w:t>
      </w:r>
      <w:r w:rsidR="002628F0">
        <w:t>Styret vedtok</w:t>
      </w:r>
      <w:r w:rsidR="00235E5D">
        <w:t xml:space="preserve"> </w:t>
      </w:r>
      <w:r w:rsidR="002628F0">
        <w:t>i saken</w:t>
      </w:r>
      <w:r w:rsidR="00847FC9">
        <w:t xml:space="preserve"> at det </w:t>
      </w:r>
      <w:r w:rsidR="002628F0">
        <w:t xml:space="preserve">senere </w:t>
      </w:r>
      <w:r w:rsidR="00847FC9">
        <w:t xml:space="preserve">skulle gjennomføres nytt kostnadsanslag basert på detaljprosjekteringen.   </w:t>
      </w:r>
    </w:p>
    <w:p w:rsidR="00811AF6" w:rsidRDefault="00235E5D" w:rsidP="00467861">
      <w:r>
        <w:t xml:space="preserve">Detaljprosjekteringen </w:t>
      </w:r>
      <w:r w:rsidR="00EE47A0">
        <w:t xml:space="preserve">har </w:t>
      </w:r>
      <w:r w:rsidR="00297711">
        <w:t>pågått</w:t>
      </w:r>
      <w:r w:rsidR="00EE47A0">
        <w:t xml:space="preserve"> siden mars og er planlagt </w:t>
      </w:r>
      <w:r w:rsidR="00D50189">
        <w:t xml:space="preserve">avsluttet i løpet av </w:t>
      </w:r>
      <w:r>
        <w:t xml:space="preserve">september. </w:t>
      </w:r>
      <w:r w:rsidR="00EE47A0">
        <w:t xml:space="preserve">Fokus fra arkitekt og prosjekterende har vært å holde kostnader nede. </w:t>
      </w:r>
      <w:r w:rsidR="00492B1C">
        <w:t>Resultatet av dette er at b</w:t>
      </w:r>
      <w:r w:rsidR="00EE47A0">
        <w:t xml:space="preserve">ygget har en </w:t>
      </w:r>
      <w:r w:rsidR="00EE47A0">
        <w:lastRenderedPageBreak/>
        <w:t xml:space="preserve">nøktern kvalitet </w:t>
      </w:r>
      <w:r w:rsidR="00D50189">
        <w:t xml:space="preserve">og </w:t>
      </w:r>
      <w:r w:rsidR="00EE47A0">
        <w:t xml:space="preserve">differensierer </w:t>
      </w:r>
      <w:r w:rsidR="00F14FDA">
        <w:t xml:space="preserve">i </w:t>
      </w:r>
      <w:r w:rsidR="00EE47A0">
        <w:t xml:space="preserve">noen </w:t>
      </w:r>
      <w:r w:rsidR="00F14FDA">
        <w:t xml:space="preserve">grad </w:t>
      </w:r>
      <w:r w:rsidR="00EE47A0">
        <w:t>forskjell</w:t>
      </w:r>
      <w:r w:rsidR="00F55F05">
        <w:t>er</w:t>
      </w:r>
      <w:r w:rsidR="00EE47A0">
        <w:t xml:space="preserve"> </w:t>
      </w:r>
      <w:r w:rsidR="00F55F05">
        <w:t>mellom</w:t>
      </w:r>
      <w:r w:rsidR="00EE47A0">
        <w:t xml:space="preserve"> publikums- og kontor-del av bygget. </w:t>
      </w:r>
      <w:r w:rsidR="00D50189">
        <w:t>I dette ligger at e</w:t>
      </w:r>
      <w:r w:rsidR="00EE47A0">
        <w:t xml:space="preserve">ksempelvis publikumsdel </w:t>
      </w:r>
      <w:r w:rsidR="00D50189">
        <w:t xml:space="preserve">har </w:t>
      </w:r>
      <w:r w:rsidR="00EE47A0">
        <w:t xml:space="preserve">høyere kvalitet på tak og gulv overflater enn kontordel. </w:t>
      </w:r>
    </w:p>
    <w:p w:rsidR="00847FC9" w:rsidRDefault="00811AF6" w:rsidP="00467861">
      <w:r>
        <w:t xml:space="preserve">I slutten av august </w:t>
      </w:r>
      <w:r w:rsidR="00D50189">
        <w:t xml:space="preserve">ble de </w:t>
      </w:r>
      <w:r w:rsidR="00492B1C">
        <w:t xml:space="preserve">samme </w:t>
      </w:r>
      <w:r w:rsidR="00056B9B">
        <w:t xml:space="preserve">entreprenører som uttalte seg </w:t>
      </w:r>
      <w:r w:rsidR="00492B1C">
        <w:t xml:space="preserve">om markedet </w:t>
      </w:r>
      <w:r w:rsidR="00056B9B">
        <w:t>i februar</w:t>
      </w:r>
      <w:r w:rsidR="00D50189">
        <w:t xml:space="preserve"> kontaktet</w:t>
      </w:r>
      <w:r w:rsidR="00492B1C">
        <w:t xml:space="preserve">. </w:t>
      </w:r>
      <w:r w:rsidR="001351F7">
        <w:t xml:space="preserve">Uavhengig av hverandre </w:t>
      </w:r>
      <w:r>
        <w:t xml:space="preserve">mener </w:t>
      </w:r>
      <w:r w:rsidR="00F578A6">
        <w:t>disse</w:t>
      </w:r>
      <w:r w:rsidR="001351F7">
        <w:t xml:space="preserve"> å være sikrere på sine antakelser </w:t>
      </w:r>
      <w:r w:rsidR="003C604E">
        <w:t xml:space="preserve">nå </w:t>
      </w:r>
      <w:r w:rsidR="001351F7">
        <w:t xml:space="preserve">og oppgir </w:t>
      </w:r>
      <w:r w:rsidR="00A20831">
        <w:t>tall</w:t>
      </w:r>
      <w:r w:rsidR="001351F7">
        <w:t xml:space="preserve"> mellom 10-20%</w:t>
      </w:r>
      <w:r w:rsidR="00056B9B">
        <w:t xml:space="preserve">. </w:t>
      </w:r>
      <w:r w:rsidR="00A20831">
        <w:t>Ko</w:t>
      </w:r>
      <w:r w:rsidR="00841971">
        <w:t xml:space="preserve">stnadsoppstilling nedenfor </w:t>
      </w:r>
      <w:r w:rsidR="00B54786">
        <w:t>viser kalkyletallene</w:t>
      </w:r>
      <w:r w:rsidR="00841971">
        <w:t xml:space="preserve"> som de har </w:t>
      </w:r>
      <w:r w:rsidR="00A20831">
        <w:t>foreligget i prosjektets utvikling.</w:t>
      </w:r>
      <w:r w:rsidR="00297711">
        <w:t xml:space="preserve"> </w:t>
      </w:r>
    </w:p>
    <w:tbl>
      <w:tblPr>
        <w:tblW w:w="8110" w:type="dxa"/>
        <w:tblLayout w:type="fixed"/>
        <w:tblCellMar>
          <w:left w:w="30" w:type="dxa"/>
          <w:right w:w="30" w:type="dxa"/>
        </w:tblCellMar>
        <w:tblLook w:val="0000" w:firstRow="0" w:lastRow="0" w:firstColumn="0" w:lastColumn="0" w:noHBand="0" w:noVBand="0"/>
      </w:tblPr>
      <w:tblGrid>
        <w:gridCol w:w="4103"/>
        <w:gridCol w:w="1314"/>
        <w:gridCol w:w="1276"/>
        <w:gridCol w:w="1417"/>
      </w:tblGrid>
      <w:tr w:rsidR="002A332C" w:rsidTr="00542FE9">
        <w:trPr>
          <w:trHeight w:val="298"/>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F93EB9">
            <w:pPr>
              <w:rPr>
                <w:b/>
              </w:rPr>
            </w:pPr>
            <w:r w:rsidRPr="004B4861">
              <w:rPr>
                <w:b/>
              </w:rPr>
              <w:t>Post    Tekst</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F93EB9">
            <w:pPr>
              <w:jc w:val="center"/>
              <w:rPr>
                <w:b/>
              </w:rPr>
            </w:pPr>
            <w:r w:rsidRPr="004B4861">
              <w:rPr>
                <w:b/>
              </w:rPr>
              <w:t>4B skjema</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F93EB9">
            <w:pPr>
              <w:jc w:val="center"/>
              <w:rPr>
                <w:b/>
              </w:rPr>
            </w:pPr>
            <w:r w:rsidRPr="004B4861">
              <w:rPr>
                <w:b/>
              </w:rPr>
              <w:t>K1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0F423A" w:rsidRPr="000F423A" w:rsidRDefault="00841971" w:rsidP="000F423A">
            <w:pPr>
              <w:spacing w:after="0" w:line="240" w:lineRule="auto"/>
              <w:jc w:val="center"/>
              <w:rPr>
                <w:sz w:val="16"/>
                <w:szCs w:val="16"/>
              </w:rPr>
            </w:pPr>
            <w:r>
              <w:rPr>
                <w:b/>
              </w:rPr>
              <w:t>Detaljprosjekt</w:t>
            </w:r>
          </w:p>
        </w:tc>
      </w:tr>
      <w:tr w:rsidR="002A332C" w:rsidTr="00542FE9">
        <w:trPr>
          <w:trHeight w:val="298"/>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1.00    Felleskostnad</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30 654 978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30</w:t>
            </w:r>
            <w:r>
              <w:t> 932 647</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2.00    Bygging</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132 004 352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142 704 750</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3.00    VVS- inst.</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37 500 676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30 631 600</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4.00    El. inst.</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24 193 369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25 754 493</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5.00    Tele- og automasjons inst.</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13 395 423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17 727 102</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6.00    Andre inst.</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3 766 889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3 395 734</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pPr>
              <w:rPr>
                <w:b/>
              </w:rPr>
            </w:pPr>
            <w:r w:rsidRPr="004B4861">
              <w:rPr>
                <w:b/>
              </w:rPr>
              <w:t>SUM 1-6    HUSKOSTNAD</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228 936 800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sidRPr="004B4861">
              <w:rPr>
                <w:b/>
              </w:rPr>
              <w:t>241 515 687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251 146 325</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7.00    Utendørsanlegg</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3 600 000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2 818 094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3 354 735</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pPr>
              <w:rPr>
                <w:b/>
              </w:rPr>
            </w:pPr>
            <w:r w:rsidRPr="004B4861">
              <w:rPr>
                <w:b/>
              </w:rPr>
              <w:t>SUM 1-7    ENTR. KOSTNAD</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227 940 400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sidRPr="004B4861">
              <w:rPr>
                <w:b/>
              </w:rPr>
              <w:t>244 333 781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254 501 060</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8.00    Generelle kostnader</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44 181 992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46 397 255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48 252 461</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rPr>
                <w:b/>
              </w:rPr>
              <w:t>SUM 1-8    BYGGEKOSTNAD</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276 718 792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sidRPr="004B4861">
              <w:rPr>
                <w:b/>
              </w:rPr>
              <w:t>290 731 036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302 753 521</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Pr="004B4861" w:rsidRDefault="002A332C" w:rsidP="002A332C">
            <w:r w:rsidRPr="004B4861">
              <w:t>9.00    Spesielle kostnader</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114 855 449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rsidRPr="004B4861">
              <w:t>110 182 759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pPr>
            <w:r>
              <w:t>113 188 380</w:t>
            </w:r>
          </w:p>
        </w:tc>
      </w:tr>
      <w:tr w:rsidR="002A332C" w:rsidTr="00542FE9">
        <w:trPr>
          <w:trHeight w:val="255"/>
        </w:trPr>
        <w:tc>
          <w:tcPr>
            <w:tcW w:w="4103" w:type="dxa"/>
            <w:tcBorders>
              <w:top w:val="single" w:sz="6" w:space="0" w:color="auto"/>
              <w:left w:val="single" w:sz="6" w:space="0" w:color="auto"/>
              <w:bottom w:val="single" w:sz="6" w:space="0" w:color="auto"/>
              <w:right w:val="single" w:sz="6" w:space="0" w:color="auto"/>
            </w:tcBorders>
          </w:tcPr>
          <w:p w:rsidR="002A332C" w:rsidRDefault="002A332C" w:rsidP="002A332C">
            <w:pPr>
              <w:rPr>
                <w:b/>
                <w:bCs/>
                <w:color w:val="000000"/>
              </w:rPr>
            </w:pPr>
            <w:r w:rsidRPr="004B4861">
              <w:rPr>
                <w:b/>
              </w:rPr>
              <w:t>SUM 1-9</w:t>
            </w:r>
            <w:r>
              <w:rPr>
                <w:b/>
                <w:bCs/>
                <w:color w:val="000000"/>
              </w:rPr>
              <w:t xml:space="preserve">   </w:t>
            </w:r>
          </w:p>
        </w:tc>
        <w:tc>
          <w:tcPr>
            <w:tcW w:w="1314"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391 574 241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sidRPr="004B4861">
              <w:rPr>
                <w:b/>
              </w:rPr>
              <w:t>400 913 795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2A332C" w:rsidRPr="004B4861" w:rsidRDefault="002A332C" w:rsidP="002A332C">
            <w:pPr>
              <w:jc w:val="right"/>
              <w:rPr>
                <w:b/>
              </w:rPr>
            </w:pPr>
            <w:r>
              <w:rPr>
                <w:b/>
              </w:rPr>
              <w:t>415 941 901</w:t>
            </w:r>
          </w:p>
        </w:tc>
      </w:tr>
      <w:tr w:rsidR="002A332C" w:rsidRPr="009461F8" w:rsidTr="00542FE9">
        <w:trPr>
          <w:trHeight w:val="298"/>
        </w:trPr>
        <w:tc>
          <w:tcPr>
            <w:tcW w:w="4103" w:type="dxa"/>
            <w:tcBorders>
              <w:top w:val="single" w:sz="6" w:space="0" w:color="auto"/>
              <w:left w:val="single" w:sz="12" w:space="0" w:color="auto"/>
              <w:bottom w:val="double" w:sz="4" w:space="0" w:color="auto"/>
              <w:right w:val="single" w:sz="6" w:space="0" w:color="auto"/>
            </w:tcBorders>
          </w:tcPr>
          <w:p w:rsidR="002A332C" w:rsidRPr="004B4861" w:rsidRDefault="002A332C" w:rsidP="002A332C">
            <w:r w:rsidRPr="004B4861">
              <w:t>10.00    Marginer</w:t>
            </w:r>
          </w:p>
        </w:tc>
        <w:tc>
          <w:tcPr>
            <w:tcW w:w="1314" w:type="dxa"/>
            <w:tcBorders>
              <w:top w:val="single" w:sz="6" w:space="0" w:color="auto"/>
              <w:left w:val="single" w:sz="6" w:space="0" w:color="auto"/>
              <w:bottom w:val="double" w:sz="4" w:space="0" w:color="auto"/>
              <w:right w:val="single" w:sz="6" w:space="0" w:color="auto"/>
            </w:tcBorders>
            <w:shd w:val="solid" w:color="FFFFFF" w:fill="auto"/>
          </w:tcPr>
          <w:p w:rsidR="002A332C" w:rsidRPr="004B4861" w:rsidRDefault="002A332C" w:rsidP="002A332C">
            <w:pPr>
              <w:jc w:val="right"/>
            </w:pPr>
            <w:r>
              <w:t>56 386 691</w:t>
            </w:r>
          </w:p>
        </w:tc>
        <w:tc>
          <w:tcPr>
            <w:tcW w:w="1276" w:type="dxa"/>
            <w:tcBorders>
              <w:top w:val="single" w:sz="6" w:space="0" w:color="auto"/>
              <w:left w:val="single" w:sz="6" w:space="0" w:color="auto"/>
              <w:bottom w:val="double" w:sz="4" w:space="0" w:color="auto"/>
              <w:right w:val="single" w:sz="6" w:space="0" w:color="auto"/>
            </w:tcBorders>
            <w:shd w:val="solid" w:color="FFFFFF" w:fill="auto"/>
          </w:tcPr>
          <w:p w:rsidR="002A332C" w:rsidRPr="004B4861" w:rsidRDefault="002A332C" w:rsidP="002A332C">
            <w:pPr>
              <w:jc w:val="right"/>
            </w:pPr>
            <w:r w:rsidRPr="004B4861">
              <w:t>40 091 380</w:t>
            </w:r>
          </w:p>
        </w:tc>
        <w:tc>
          <w:tcPr>
            <w:tcW w:w="1417" w:type="dxa"/>
            <w:tcBorders>
              <w:top w:val="single" w:sz="6" w:space="0" w:color="auto"/>
              <w:left w:val="single" w:sz="6" w:space="0" w:color="auto"/>
              <w:bottom w:val="double" w:sz="4" w:space="0" w:color="auto"/>
              <w:right w:val="single" w:sz="6" w:space="0" w:color="auto"/>
            </w:tcBorders>
            <w:shd w:val="solid" w:color="FFFFFF" w:fill="auto"/>
          </w:tcPr>
          <w:p w:rsidR="002A332C" w:rsidRPr="004B4861" w:rsidRDefault="002A332C" w:rsidP="002A332C">
            <w:pPr>
              <w:jc w:val="right"/>
            </w:pPr>
            <w:r>
              <w:t>41 594 190</w:t>
            </w:r>
          </w:p>
        </w:tc>
      </w:tr>
      <w:tr w:rsidR="002A332C" w:rsidTr="00542FE9">
        <w:trPr>
          <w:trHeight w:val="269"/>
        </w:trPr>
        <w:tc>
          <w:tcPr>
            <w:tcW w:w="4103" w:type="dxa"/>
            <w:tcBorders>
              <w:top w:val="double" w:sz="4" w:space="0" w:color="auto"/>
              <w:left w:val="single" w:sz="12" w:space="0" w:color="auto"/>
              <w:bottom w:val="single" w:sz="18" w:space="0" w:color="auto"/>
              <w:right w:val="single" w:sz="6" w:space="0" w:color="auto"/>
            </w:tcBorders>
          </w:tcPr>
          <w:p w:rsidR="002A332C" w:rsidRDefault="002A332C" w:rsidP="002A332C">
            <w:pPr>
              <w:rPr>
                <w:b/>
                <w:bCs/>
                <w:color w:val="000000"/>
              </w:rPr>
            </w:pPr>
            <w:r w:rsidRPr="004B4861">
              <w:rPr>
                <w:b/>
              </w:rPr>
              <w:t>SUM 0-10 PROSJEKTKOSTNAD</w:t>
            </w:r>
          </w:p>
        </w:tc>
        <w:tc>
          <w:tcPr>
            <w:tcW w:w="1314" w:type="dxa"/>
            <w:tcBorders>
              <w:top w:val="double" w:sz="4" w:space="0" w:color="auto"/>
              <w:left w:val="single" w:sz="6" w:space="0" w:color="auto"/>
              <w:bottom w:val="single" w:sz="18" w:space="0" w:color="auto"/>
              <w:right w:val="single" w:sz="6" w:space="0" w:color="auto"/>
            </w:tcBorders>
            <w:shd w:val="solid" w:color="FFFFFF" w:fill="auto"/>
          </w:tcPr>
          <w:p w:rsidR="002A332C" w:rsidRPr="004B4861" w:rsidRDefault="002A332C" w:rsidP="002A332C">
            <w:pPr>
              <w:jc w:val="right"/>
              <w:rPr>
                <w:b/>
              </w:rPr>
            </w:pPr>
            <w:r>
              <w:rPr>
                <w:b/>
              </w:rPr>
              <w:t>447 960 932</w:t>
            </w:r>
          </w:p>
        </w:tc>
        <w:tc>
          <w:tcPr>
            <w:tcW w:w="1276" w:type="dxa"/>
            <w:tcBorders>
              <w:top w:val="double" w:sz="4" w:space="0" w:color="auto"/>
              <w:left w:val="single" w:sz="6" w:space="0" w:color="auto"/>
              <w:bottom w:val="single" w:sz="18" w:space="0" w:color="auto"/>
              <w:right w:val="single" w:sz="6" w:space="0" w:color="auto"/>
            </w:tcBorders>
            <w:shd w:val="solid" w:color="FFFFFF" w:fill="auto"/>
          </w:tcPr>
          <w:p w:rsidR="002A332C" w:rsidRPr="004B4861" w:rsidRDefault="002A332C" w:rsidP="002A332C">
            <w:pPr>
              <w:jc w:val="right"/>
              <w:rPr>
                <w:b/>
              </w:rPr>
            </w:pPr>
            <w:r w:rsidRPr="004B4861">
              <w:rPr>
                <w:b/>
              </w:rPr>
              <w:t>441 005 175*</w:t>
            </w:r>
          </w:p>
        </w:tc>
        <w:tc>
          <w:tcPr>
            <w:tcW w:w="1417" w:type="dxa"/>
            <w:tcBorders>
              <w:top w:val="double" w:sz="4" w:space="0" w:color="auto"/>
              <w:left w:val="single" w:sz="6" w:space="0" w:color="auto"/>
              <w:bottom w:val="single" w:sz="18" w:space="0" w:color="auto"/>
              <w:right w:val="single" w:sz="6" w:space="0" w:color="auto"/>
            </w:tcBorders>
            <w:shd w:val="solid" w:color="FFFFFF" w:fill="auto"/>
          </w:tcPr>
          <w:p w:rsidR="002A332C" w:rsidRPr="004B4861" w:rsidRDefault="002A332C" w:rsidP="002A332C">
            <w:pPr>
              <w:jc w:val="right"/>
              <w:rPr>
                <w:b/>
              </w:rPr>
            </w:pPr>
            <w:r>
              <w:rPr>
                <w:b/>
              </w:rPr>
              <w:t>457 536 091*</w:t>
            </w:r>
            <w:r w:rsidRPr="004B4861">
              <w:rPr>
                <w:b/>
              </w:rPr>
              <w:t>*</w:t>
            </w:r>
          </w:p>
        </w:tc>
      </w:tr>
      <w:tr w:rsidR="00F55F05" w:rsidTr="00542FE9">
        <w:trPr>
          <w:trHeight w:val="269"/>
        </w:trPr>
        <w:tc>
          <w:tcPr>
            <w:tcW w:w="4103" w:type="dxa"/>
            <w:tcBorders>
              <w:top w:val="single" w:sz="18" w:space="0" w:color="auto"/>
              <w:left w:val="single" w:sz="12" w:space="0" w:color="auto"/>
              <w:bottom w:val="single" w:sz="2" w:space="0" w:color="auto"/>
              <w:right w:val="single" w:sz="6" w:space="0" w:color="auto"/>
            </w:tcBorders>
          </w:tcPr>
          <w:p w:rsidR="00F55F05" w:rsidRPr="004B4861" w:rsidRDefault="00542FE9" w:rsidP="002A332C">
            <w:pPr>
              <w:rPr>
                <w:b/>
              </w:rPr>
            </w:pPr>
            <w:r>
              <w:rPr>
                <w:b/>
              </w:rPr>
              <w:t>Prosjektkostnad inkl. marked</w:t>
            </w:r>
            <w:r w:rsidR="00F55F05">
              <w:rPr>
                <w:b/>
              </w:rPr>
              <w:t xml:space="preserve"> – 13%</w:t>
            </w:r>
          </w:p>
        </w:tc>
        <w:tc>
          <w:tcPr>
            <w:tcW w:w="1314" w:type="dxa"/>
            <w:tcBorders>
              <w:top w:val="single" w:sz="18" w:space="0" w:color="auto"/>
              <w:left w:val="single" w:sz="6" w:space="0" w:color="auto"/>
              <w:bottom w:val="single" w:sz="2" w:space="0" w:color="auto"/>
              <w:right w:val="single" w:sz="6" w:space="0" w:color="auto"/>
            </w:tcBorders>
            <w:shd w:val="solid" w:color="FFFFFF" w:fill="auto"/>
          </w:tcPr>
          <w:p w:rsidR="00F55F05" w:rsidRDefault="00F55F05" w:rsidP="002A332C">
            <w:pPr>
              <w:jc w:val="right"/>
              <w:rPr>
                <w:b/>
              </w:rPr>
            </w:pPr>
          </w:p>
        </w:tc>
        <w:tc>
          <w:tcPr>
            <w:tcW w:w="1276" w:type="dxa"/>
            <w:tcBorders>
              <w:top w:val="single" w:sz="18" w:space="0" w:color="auto"/>
              <w:left w:val="single" w:sz="6" w:space="0" w:color="auto"/>
              <w:bottom w:val="single" w:sz="2" w:space="0" w:color="auto"/>
              <w:right w:val="single" w:sz="6" w:space="0" w:color="auto"/>
            </w:tcBorders>
            <w:shd w:val="solid" w:color="FFFFFF" w:fill="auto"/>
          </w:tcPr>
          <w:p w:rsidR="00F55F05" w:rsidRPr="004B4861" w:rsidRDefault="00F55F05" w:rsidP="002A332C">
            <w:pPr>
              <w:jc w:val="right"/>
              <w:rPr>
                <w:b/>
              </w:rPr>
            </w:pPr>
            <w:r>
              <w:rPr>
                <w:b/>
              </w:rPr>
              <w:t>390MNOK</w:t>
            </w:r>
          </w:p>
        </w:tc>
        <w:tc>
          <w:tcPr>
            <w:tcW w:w="1417" w:type="dxa"/>
            <w:tcBorders>
              <w:top w:val="single" w:sz="18" w:space="0" w:color="auto"/>
              <w:left w:val="single" w:sz="6" w:space="0" w:color="auto"/>
              <w:bottom w:val="single" w:sz="2" w:space="0" w:color="auto"/>
              <w:right w:val="single" w:sz="6" w:space="0" w:color="auto"/>
            </w:tcBorders>
            <w:shd w:val="solid" w:color="FFFFFF" w:fill="auto"/>
          </w:tcPr>
          <w:p w:rsidR="00F55F05" w:rsidRDefault="00F55F05" w:rsidP="002A332C">
            <w:pPr>
              <w:jc w:val="right"/>
              <w:rPr>
                <w:b/>
              </w:rPr>
            </w:pPr>
          </w:p>
        </w:tc>
      </w:tr>
      <w:tr w:rsidR="00F55F05" w:rsidTr="00542FE9">
        <w:trPr>
          <w:trHeight w:val="269"/>
        </w:trPr>
        <w:tc>
          <w:tcPr>
            <w:tcW w:w="4103" w:type="dxa"/>
            <w:tcBorders>
              <w:top w:val="single" w:sz="2" w:space="0" w:color="auto"/>
              <w:left w:val="single" w:sz="12" w:space="0" w:color="auto"/>
              <w:bottom w:val="single" w:sz="2" w:space="0" w:color="auto"/>
              <w:right w:val="single" w:sz="6" w:space="0" w:color="auto"/>
            </w:tcBorders>
          </w:tcPr>
          <w:p w:rsidR="00F55F05" w:rsidRDefault="00542FE9" w:rsidP="002A332C">
            <w:pPr>
              <w:rPr>
                <w:b/>
              </w:rPr>
            </w:pPr>
            <w:r>
              <w:rPr>
                <w:b/>
              </w:rPr>
              <w:t>Prosjektkostnad inkl. marked</w:t>
            </w:r>
            <w:r w:rsidR="00F55F05">
              <w:rPr>
                <w:b/>
              </w:rPr>
              <w:t xml:space="preserve"> – 13%</w:t>
            </w:r>
          </w:p>
        </w:tc>
        <w:tc>
          <w:tcPr>
            <w:tcW w:w="1314" w:type="dxa"/>
            <w:tcBorders>
              <w:top w:val="single" w:sz="2" w:space="0" w:color="auto"/>
              <w:left w:val="single" w:sz="6" w:space="0" w:color="auto"/>
              <w:bottom w:val="single" w:sz="2" w:space="0" w:color="auto"/>
              <w:right w:val="single" w:sz="6" w:space="0" w:color="auto"/>
            </w:tcBorders>
            <w:shd w:val="solid" w:color="FFFFFF" w:fill="auto"/>
          </w:tcPr>
          <w:p w:rsidR="00F55F05" w:rsidRDefault="00F55F05" w:rsidP="002A332C">
            <w:pPr>
              <w:jc w:val="right"/>
              <w:rPr>
                <w:b/>
              </w:rPr>
            </w:pPr>
          </w:p>
        </w:tc>
        <w:tc>
          <w:tcPr>
            <w:tcW w:w="1276" w:type="dxa"/>
            <w:tcBorders>
              <w:top w:val="single" w:sz="2" w:space="0" w:color="auto"/>
              <w:left w:val="single" w:sz="6" w:space="0" w:color="auto"/>
              <w:bottom w:val="single" w:sz="2" w:space="0" w:color="auto"/>
              <w:right w:val="single" w:sz="6" w:space="0" w:color="auto"/>
            </w:tcBorders>
            <w:shd w:val="solid" w:color="FFFFFF" w:fill="auto"/>
          </w:tcPr>
          <w:p w:rsidR="00F55F05" w:rsidRPr="004B4861" w:rsidRDefault="00F55F05" w:rsidP="002A332C">
            <w:pPr>
              <w:jc w:val="right"/>
              <w:rPr>
                <w:b/>
              </w:rPr>
            </w:pPr>
          </w:p>
        </w:tc>
        <w:tc>
          <w:tcPr>
            <w:tcW w:w="1417" w:type="dxa"/>
            <w:tcBorders>
              <w:top w:val="single" w:sz="2" w:space="0" w:color="auto"/>
              <w:left w:val="single" w:sz="6" w:space="0" w:color="auto"/>
              <w:bottom w:val="single" w:sz="2" w:space="0" w:color="auto"/>
              <w:right w:val="single" w:sz="6" w:space="0" w:color="auto"/>
            </w:tcBorders>
            <w:shd w:val="solid" w:color="FFFFFF" w:fill="auto"/>
          </w:tcPr>
          <w:p w:rsidR="00F55F05" w:rsidRDefault="00F55F05" w:rsidP="002A332C">
            <w:pPr>
              <w:jc w:val="right"/>
              <w:rPr>
                <w:b/>
              </w:rPr>
            </w:pPr>
            <w:r>
              <w:rPr>
                <w:b/>
              </w:rPr>
              <w:t>399 MNOK</w:t>
            </w:r>
          </w:p>
        </w:tc>
      </w:tr>
    </w:tbl>
    <w:p w:rsidR="000A2948" w:rsidRDefault="000A2948" w:rsidP="00CC5941">
      <w:pPr>
        <w:spacing w:after="0"/>
        <w:rPr>
          <w:b/>
          <w:sz w:val="20"/>
        </w:rPr>
      </w:pPr>
      <w:r w:rsidRPr="00136173">
        <w:rPr>
          <w:b/>
          <w:sz w:val="20"/>
        </w:rPr>
        <w:t>*</w:t>
      </w:r>
      <w:r w:rsidR="00B54786">
        <w:rPr>
          <w:b/>
          <w:sz w:val="20"/>
        </w:rPr>
        <w:t>Eks. kostnader for</w:t>
      </w:r>
      <w:r w:rsidRPr="00136173">
        <w:rPr>
          <w:b/>
          <w:sz w:val="20"/>
        </w:rPr>
        <w:t xml:space="preserve"> IT-</w:t>
      </w:r>
      <w:r w:rsidR="00B54786">
        <w:rPr>
          <w:b/>
          <w:sz w:val="20"/>
        </w:rPr>
        <w:t>utstyr</w:t>
      </w:r>
    </w:p>
    <w:p w:rsidR="002A332C" w:rsidRDefault="002A332C" w:rsidP="00CC5941">
      <w:pPr>
        <w:spacing w:after="0"/>
        <w:rPr>
          <w:b/>
          <w:sz w:val="20"/>
        </w:rPr>
      </w:pPr>
      <w:r w:rsidRPr="00136173">
        <w:rPr>
          <w:b/>
          <w:sz w:val="20"/>
        </w:rPr>
        <w:t>*</w:t>
      </w:r>
      <w:r>
        <w:rPr>
          <w:b/>
          <w:sz w:val="20"/>
        </w:rPr>
        <w:t>*</w:t>
      </w:r>
      <w:r w:rsidR="00B54786" w:rsidRPr="00B54786">
        <w:rPr>
          <w:b/>
          <w:sz w:val="20"/>
        </w:rPr>
        <w:t xml:space="preserve"> </w:t>
      </w:r>
      <w:r w:rsidR="00B54786">
        <w:rPr>
          <w:b/>
          <w:sz w:val="20"/>
        </w:rPr>
        <w:t>Eks. kostnader for</w:t>
      </w:r>
      <w:r w:rsidR="00B54786" w:rsidRPr="00136173">
        <w:rPr>
          <w:b/>
          <w:sz w:val="20"/>
        </w:rPr>
        <w:t xml:space="preserve"> IT-</w:t>
      </w:r>
      <w:r w:rsidR="00B54786">
        <w:rPr>
          <w:b/>
          <w:sz w:val="20"/>
        </w:rPr>
        <w:t xml:space="preserve">utstyr </w:t>
      </w:r>
      <w:r w:rsidR="00591DAF">
        <w:rPr>
          <w:b/>
          <w:sz w:val="20"/>
        </w:rPr>
        <w:t>og nettverksutstyr</w:t>
      </w:r>
    </w:p>
    <w:p w:rsidR="00CC5941" w:rsidRDefault="00CC5941" w:rsidP="000A2948">
      <w:pPr>
        <w:rPr>
          <w:u w:val="single"/>
        </w:rPr>
      </w:pPr>
    </w:p>
    <w:p w:rsidR="00467861" w:rsidRPr="005536FF" w:rsidRDefault="00467861" w:rsidP="00467861">
      <w:pPr>
        <w:rPr>
          <w:u w:val="single"/>
        </w:rPr>
      </w:pPr>
      <w:r w:rsidRPr="005536FF">
        <w:rPr>
          <w:u w:val="single"/>
        </w:rPr>
        <w:t>Forklaring til kalkylen</w:t>
      </w:r>
    </w:p>
    <w:p w:rsidR="00467861" w:rsidRPr="005536FF" w:rsidRDefault="00467861" w:rsidP="00297711">
      <w:pPr>
        <w:spacing w:after="0"/>
      </w:pPr>
      <w:r>
        <w:t>Post 1</w:t>
      </w:r>
      <w:r>
        <w:tab/>
      </w:r>
      <w:r>
        <w:tab/>
      </w:r>
      <w:r w:rsidRPr="005536FF">
        <w:t>Felleskostnad, omfatter</w:t>
      </w:r>
      <w:r w:rsidR="00841971">
        <w:t xml:space="preserve"> i hovedsak rigging og drift av byggeplass</w:t>
      </w:r>
    </w:p>
    <w:p w:rsidR="00467861" w:rsidRPr="005536FF" w:rsidRDefault="00467861" w:rsidP="00297711">
      <w:pPr>
        <w:spacing w:after="0"/>
        <w:ind w:left="1410" w:hanging="1410"/>
      </w:pPr>
      <w:r>
        <w:t>Post 2</w:t>
      </w:r>
      <w:r>
        <w:tab/>
      </w:r>
      <w:r w:rsidRPr="005536FF">
        <w:t>Bygning, omfatter alt bygningsteknisk arbeid, som betong, murer, stål, tømrer, maler, gulvlegger</w:t>
      </w:r>
    </w:p>
    <w:p w:rsidR="00467861" w:rsidRPr="005536FF" w:rsidRDefault="00467861" w:rsidP="00297711">
      <w:pPr>
        <w:spacing w:after="0"/>
        <w:ind w:left="1410" w:hanging="1410"/>
      </w:pPr>
      <w:r w:rsidRPr="005536FF">
        <w:lastRenderedPageBreak/>
        <w:t>Post 3</w:t>
      </w:r>
      <w:r w:rsidRPr="005536FF">
        <w:tab/>
      </w:r>
      <w:r>
        <w:tab/>
        <w:t xml:space="preserve">VVS-installasjoner, omfatter alt av luftbehandlingsanlegg, </w:t>
      </w:r>
      <w:r w:rsidRPr="005536FF">
        <w:t>sanitæranlegg, varmeanlegg og sprinkleranlegg.</w:t>
      </w:r>
    </w:p>
    <w:p w:rsidR="00467861" w:rsidRPr="005536FF" w:rsidRDefault="00467861" w:rsidP="00297711">
      <w:pPr>
        <w:spacing w:after="0"/>
      </w:pPr>
      <w:r>
        <w:t>Post 4</w:t>
      </w:r>
      <w:r>
        <w:tab/>
        <w:t xml:space="preserve"> </w:t>
      </w:r>
      <w:r>
        <w:tab/>
        <w:t>El. installasjoner</w:t>
      </w:r>
    </w:p>
    <w:p w:rsidR="00467861" w:rsidRPr="005536FF" w:rsidRDefault="00467861" w:rsidP="00297711">
      <w:pPr>
        <w:spacing w:after="0"/>
      </w:pPr>
      <w:r w:rsidRPr="005536FF">
        <w:t>Post 5</w:t>
      </w:r>
      <w:r w:rsidRPr="005536FF">
        <w:tab/>
      </w:r>
      <w:r w:rsidRPr="005536FF">
        <w:tab/>
        <w:t>Tele- og automasjons inst., omfatter i hovedsak nytt SD-, tele-, data-, brann- anlegg</w:t>
      </w:r>
    </w:p>
    <w:p w:rsidR="00467861" w:rsidRPr="005536FF" w:rsidRDefault="00467861" w:rsidP="00297711">
      <w:pPr>
        <w:spacing w:after="0"/>
      </w:pPr>
      <w:r w:rsidRPr="005536FF">
        <w:t>Post 6</w:t>
      </w:r>
      <w:r w:rsidRPr="005536FF">
        <w:tab/>
      </w:r>
      <w:r>
        <w:t xml:space="preserve"> </w:t>
      </w:r>
      <w:r>
        <w:tab/>
        <w:t>Andre installasjoner - heis, avfall</w:t>
      </w:r>
      <w:r w:rsidR="00841971">
        <w:t>s</w:t>
      </w:r>
      <w:r>
        <w:t>system og kantinekjøkken</w:t>
      </w:r>
    </w:p>
    <w:p w:rsidR="00467861" w:rsidRPr="005536FF" w:rsidRDefault="00467861" w:rsidP="00297711">
      <w:pPr>
        <w:spacing w:after="0"/>
      </w:pPr>
      <w:r w:rsidRPr="005536FF">
        <w:t>Post 7</w:t>
      </w:r>
      <w:r w:rsidRPr="005536FF">
        <w:tab/>
      </w:r>
      <w:r w:rsidRPr="005536FF">
        <w:tab/>
        <w:t>Utendørsanlegg.</w:t>
      </w:r>
    </w:p>
    <w:p w:rsidR="00467861" w:rsidRPr="005536FF" w:rsidRDefault="00467861" w:rsidP="00297711">
      <w:pPr>
        <w:spacing w:after="0"/>
        <w:ind w:left="1410" w:hanging="1410"/>
      </w:pPr>
      <w:r w:rsidRPr="005536FF">
        <w:t>Post 8</w:t>
      </w:r>
      <w:r w:rsidRPr="005536FF">
        <w:tab/>
      </w:r>
      <w:r w:rsidRPr="005536FF">
        <w:tab/>
        <w:t xml:space="preserve">Generelle kostnader, omfatter i hovedsak </w:t>
      </w:r>
      <w:r w:rsidR="00841971">
        <w:t xml:space="preserve">prosjektadministrasjon, </w:t>
      </w:r>
      <w:r w:rsidRPr="005536FF">
        <w:t>prosjekteringskostnader, byggeledelse, kopiering og leiekostnader.</w:t>
      </w:r>
    </w:p>
    <w:p w:rsidR="00467861" w:rsidRPr="005536FF" w:rsidRDefault="00467861" w:rsidP="00297711">
      <w:pPr>
        <w:spacing w:after="0"/>
      </w:pPr>
      <w:r w:rsidRPr="005536FF">
        <w:t>Post 9</w:t>
      </w:r>
      <w:r w:rsidRPr="005536FF">
        <w:tab/>
        <w:t xml:space="preserve"> </w:t>
      </w:r>
      <w:r w:rsidRPr="005536FF">
        <w:tab/>
        <w:t xml:space="preserve">Spesielle kostnader omfatter merverdiavgift og </w:t>
      </w:r>
      <w:r>
        <w:t>inventar (møbler og VA-utstyr)</w:t>
      </w:r>
      <w:r w:rsidRPr="005536FF">
        <w:t>.</w:t>
      </w:r>
    </w:p>
    <w:p w:rsidR="00467861" w:rsidRPr="005536FF" w:rsidRDefault="00467861" w:rsidP="00297711">
      <w:pPr>
        <w:spacing w:after="0"/>
      </w:pPr>
      <w:r w:rsidRPr="005536FF">
        <w:t>Post 10</w:t>
      </w:r>
      <w:r w:rsidRPr="005536FF">
        <w:tab/>
      </w:r>
      <w:r>
        <w:tab/>
      </w:r>
      <w:r w:rsidRPr="005536FF">
        <w:t>Marginer, omfatter uforutsette kostnader og prisstigning.</w:t>
      </w:r>
    </w:p>
    <w:p w:rsidR="00467861" w:rsidRDefault="00467861" w:rsidP="00467861"/>
    <w:p w:rsidR="00056B9B" w:rsidRDefault="00841971" w:rsidP="000A2948">
      <w:r>
        <w:t xml:space="preserve">Kalkylen for </w:t>
      </w:r>
      <w:r w:rsidR="00BF1473">
        <w:t xml:space="preserve">detaljprosjekt </w:t>
      </w:r>
      <w:r w:rsidR="001351F7">
        <w:t>viser</w:t>
      </w:r>
      <w:r w:rsidR="00297711">
        <w:t xml:space="preserve"> </w:t>
      </w:r>
      <w:r w:rsidR="00F55F05">
        <w:t>399</w:t>
      </w:r>
      <w:r w:rsidR="00D50189">
        <w:t xml:space="preserve"> </w:t>
      </w:r>
      <w:r w:rsidR="00467861">
        <w:t xml:space="preserve">MNOK </w:t>
      </w:r>
      <w:r w:rsidR="009457E0">
        <w:t xml:space="preserve">inkl. </w:t>
      </w:r>
      <w:r w:rsidR="00D50189">
        <w:t xml:space="preserve">kostnadsreduksjon lokalt på 13 %.  Denne er </w:t>
      </w:r>
      <w:r w:rsidR="00F849EF">
        <w:t>9</w:t>
      </w:r>
      <w:r w:rsidR="00D50189">
        <w:t xml:space="preserve"> </w:t>
      </w:r>
      <w:r w:rsidR="00BF1473">
        <w:t>MNOK</w:t>
      </w:r>
      <w:r w:rsidR="00056B9B">
        <w:t xml:space="preserve"> over </w:t>
      </w:r>
      <w:r w:rsidR="009457E0">
        <w:t xml:space="preserve">K1 og </w:t>
      </w:r>
      <w:r w:rsidR="00056B9B">
        <w:t>vedtatt</w:t>
      </w:r>
      <w:r w:rsidR="00467861">
        <w:t xml:space="preserve"> budsjettrammen</w:t>
      </w:r>
      <w:r w:rsidR="009457E0">
        <w:t xml:space="preserve">. </w:t>
      </w:r>
      <w:r w:rsidR="00A20831">
        <w:t>Kostnadsk</w:t>
      </w:r>
      <w:r w:rsidR="00EF5268">
        <w:t xml:space="preserve">alkyle for K1 var i hovedsak basert på m2 priser </w:t>
      </w:r>
      <w:r w:rsidR="00A20831">
        <w:t>og hadde der</w:t>
      </w:r>
      <w:r>
        <w:t>med</w:t>
      </w:r>
      <w:r w:rsidR="00A20831">
        <w:t xml:space="preserve"> større</w:t>
      </w:r>
      <w:r w:rsidR="007E48DB">
        <w:t xml:space="preserve"> </w:t>
      </w:r>
      <w:r w:rsidR="00EF5088">
        <w:t>usik</w:t>
      </w:r>
      <w:r w:rsidR="007E48DB">
        <w:t>kerhet</w:t>
      </w:r>
      <w:r>
        <w:t xml:space="preserve"> i tallene</w:t>
      </w:r>
      <w:r w:rsidR="00EF5268">
        <w:t xml:space="preserve">. </w:t>
      </w:r>
      <w:r w:rsidR="00EF5088">
        <w:t xml:space="preserve">I </w:t>
      </w:r>
      <w:r w:rsidR="00A20831">
        <w:t>siste kalkyle</w:t>
      </w:r>
      <w:r w:rsidR="00EF5268">
        <w:t xml:space="preserve"> har detaljering av bygningselementer, mengder og kvaliteter blitt </w:t>
      </w:r>
      <w:r w:rsidR="007E48DB">
        <w:t xml:space="preserve">lagt til grunn </w:t>
      </w:r>
      <w:r w:rsidR="00EF5088">
        <w:t>og økning ligger innenfor den usikkerhetsmargin som lå i K1.</w:t>
      </w:r>
      <w:r w:rsidR="001351F7">
        <w:t xml:space="preserve"> Kalkylen er utført a</w:t>
      </w:r>
      <w:r w:rsidR="003C604E">
        <w:t>v prosjekt</w:t>
      </w:r>
      <w:r w:rsidR="00FB1204">
        <w:t>gruppen</w:t>
      </w:r>
      <w:r w:rsidR="003C604E">
        <w:t xml:space="preserve"> og Bygganalyse</w:t>
      </w:r>
      <w:r>
        <w:t xml:space="preserve"> AS</w:t>
      </w:r>
      <w:r w:rsidR="00DF7BCC">
        <w:t xml:space="preserve"> og</w:t>
      </w:r>
      <w:r w:rsidR="003C604E">
        <w:t xml:space="preserve"> </w:t>
      </w:r>
      <w:r w:rsidR="001351F7">
        <w:t>er basert på Nordconsult sin prisdatabase for landet</w:t>
      </w:r>
      <w:r w:rsidR="00DF7BCC">
        <w:t xml:space="preserve"> (Norsk Prisbok)</w:t>
      </w:r>
      <w:r w:rsidR="001351F7">
        <w:t>.</w:t>
      </w:r>
      <w:r w:rsidR="009457E0">
        <w:t xml:space="preserve"> </w:t>
      </w:r>
    </w:p>
    <w:p w:rsidR="00017279" w:rsidRDefault="00017279" w:rsidP="000A2948"/>
    <w:p w:rsidR="00A50E14" w:rsidRDefault="00C65438" w:rsidP="00B16930">
      <w:pPr>
        <w:spacing w:after="0"/>
        <w:rPr>
          <w:u w:val="single"/>
        </w:rPr>
      </w:pPr>
      <w:r>
        <w:rPr>
          <w:u w:val="single"/>
        </w:rPr>
        <w:t>Usikkerhetsanalyse</w:t>
      </w:r>
    </w:p>
    <w:p w:rsidR="007E48DB" w:rsidRDefault="005F1949" w:rsidP="00B16930">
      <w:pPr>
        <w:spacing w:after="0"/>
      </w:pPr>
      <w:r>
        <w:t xml:space="preserve">I sak 16-16 kostnadsoverslag 1 (K1) ble det vedtatt å gjennomføre vurderinger av kostnadsanslaget før anbudsutlysning. </w:t>
      </w:r>
      <w:r w:rsidR="007E48DB">
        <w:t>I etterkant gjennomførte</w:t>
      </w:r>
      <w:r>
        <w:t xml:space="preserve"> prosjektet anbudskonkurranse om leveranse av </w:t>
      </w:r>
      <w:r w:rsidR="00E120F0">
        <w:t xml:space="preserve">2 </w:t>
      </w:r>
      <w:r>
        <w:t>usikkerhetsanalyse</w:t>
      </w:r>
      <w:r w:rsidR="00E120F0">
        <w:t>r</w:t>
      </w:r>
      <w:r>
        <w:t xml:space="preserve"> for nytt rådhus</w:t>
      </w:r>
      <w:r w:rsidR="00E120F0">
        <w:t xml:space="preserve"> </w:t>
      </w:r>
      <w:r w:rsidR="00705CA4">
        <w:t>- en</w:t>
      </w:r>
      <w:r w:rsidR="00E120F0">
        <w:t xml:space="preserve"> </w:t>
      </w:r>
      <w:r w:rsidR="00705CA4">
        <w:t>basert</w:t>
      </w:r>
      <w:r w:rsidR="00E120F0">
        <w:t xml:space="preserve"> på </w:t>
      </w:r>
      <w:r w:rsidR="007E48DB">
        <w:t>forprosjekt, den</w:t>
      </w:r>
      <w:r w:rsidR="00705CA4">
        <w:t xml:space="preserve"> </w:t>
      </w:r>
      <w:r w:rsidR="00E120F0">
        <w:t xml:space="preserve">andre </w:t>
      </w:r>
      <w:r w:rsidR="00A20831">
        <w:t xml:space="preserve">basert </w:t>
      </w:r>
      <w:r w:rsidR="00E120F0">
        <w:t>på detaljprosjekt</w:t>
      </w:r>
      <w:r>
        <w:t xml:space="preserve">. Konkurransen ble vunnet av Opak AS i mai 2016. </w:t>
      </w:r>
      <w:r w:rsidR="00E120F0">
        <w:t>Usikkerhetsanalyse basert på forprosjekt ble fremlagt for styre i sak 85</w:t>
      </w:r>
      <w:r w:rsidR="00D50189">
        <w:t xml:space="preserve"> - </w:t>
      </w:r>
      <w:r w:rsidR="00E120F0">
        <w:t xml:space="preserve">16. </w:t>
      </w:r>
    </w:p>
    <w:p w:rsidR="005F1949" w:rsidRDefault="00E120F0" w:rsidP="005F1949">
      <w:r>
        <w:t xml:space="preserve">Usikkerhetsanalyse </w:t>
      </w:r>
      <w:r w:rsidR="00705CA4">
        <w:t xml:space="preserve">basert på detaljprosjekteringen </w:t>
      </w:r>
      <w:r>
        <w:t xml:space="preserve">ble </w:t>
      </w:r>
      <w:r w:rsidR="00D50189">
        <w:t xml:space="preserve">av samme selskap </w:t>
      </w:r>
      <w:r>
        <w:t>gjennomfør</w:t>
      </w:r>
      <w:r w:rsidR="007E48DB">
        <w:t xml:space="preserve">t i september 2016. Her ble det gjennomført </w:t>
      </w:r>
      <w:r w:rsidR="005F1949">
        <w:t>heldagssamling</w:t>
      </w:r>
      <w:r w:rsidR="007E48DB">
        <w:t xml:space="preserve"> </w:t>
      </w:r>
      <w:r w:rsidR="005F1949">
        <w:t>med Opak</w:t>
      </w:r>
      <w:r w:rsidR="007E48DB">
        <w:t xml:space="preserve"> og nøkkelpersonell i </w:t>
      </w:r>
      <w:r w:rsidR="005F1949">
        <w:t xml:space="preserve">prosjektgruppen som har bidratt til </w:t>
      </w:r>
      <w:r>
        <w:t>kostnadskalkylen</w:t>
      </w:r>
      <w:r w:rsidR="00705CA4">
        <w:t xml:space="preserve">. </w:t>
      </w:r>
    </w:p>
    <w:p w:rsidR="005F1949" w:rsidRDefault="005F1949" w:rsidP="005F1949">
      <w:r>
        <w:t xml:space="preserve">Formålet med </w:t>
      </w:r>
      <w:r w:rsidR="00E120F0">
        <w:t>usikkerhets</w:t>
      </w:r>
      <w:r>
        <w:t xml:space="preserve">analysen </w:t>
      </w:r>
      <w:r w:rsidR="00A20831">
        <w:t>var</w:t>
      </w:r>
      <w:r>
        <w:t xml:space="preserve"> å gjennomgå prosjektet for å påpeke kritiske faktorer og se på muligheter og risikoer relatert til kostnader, samt forberede videre usikkerhetsstyring.</w:t>
      </w:r>
    </w:p>
    <w:p w:rsidR="005F1949" w:rsidRDefault="005F1949" w:rsidP="005F1949">
      <w:r>
        <w:t>Dette ble oppnådd ved å;</w:t>
      </w:r>
    </w:p>
    <w:p w:rsidR="005F1949" w:rsidRDefault="005F1949" w:rsidP="005F1949">
      <w:pPr>
        <w:pStyle w:val="Listeavsnitt"/>
        <w:numPr>
          <w:ilvl w:val="0"/>
          <w:numId w:val="29"/>
        </w:numPr>
      </w:pPr>
      <w:r>
        <w:t>Definere usikkerheten i kostnadselementene i grunnkalkylen ved hjelp av et trippelanslag (minimum, maksimum og mest sannsynlig innvirkning av elementet).</w:t>
      </w:r>
    </w:p>
    <w:p w:rsidR="005F1949" w:rsidRDefault="005F1949" w:rsidP="005F1949">
      <w:pPr>
        <w:pStyle w:val="Listeavsnitt"/>
        <w:numPr>
          <w:ilvl w:val="0"/>
          <w:numId w:val="29"/>
        </w:numPr>
      </w:pPr>
      <w:r>
        <w:t>Beskrive årsaken til usikkerhetselementet.</w:t>
      </w:r>
    </w:p>
    <w:p w:rsidR="005F1949" w:rsidRDefault="005F1949" w:rsidP="005F1949">
      <w:pPr>
        <w:pStyle w:val="Listeavsnitt"/>
        <w:numPr>
          <w:ilvl w:val="0"/>
          <w:numId w:val="29"/>
        </w:numPr>
      </w:pPr>
      <w:r>
        <w:t>Identifisere, prioritere og kommentere usikkerhetsdriverne (ytre/indre faktorer som kan påvirke prosjektets sluttkostnad).</w:t>
      </w:r>
    </w:p>
    <w:p w:rsidR="005F1949" w:rsidRDefault="005F1949" w:rsidP="005F1949">
      <w:pPr>
        <w:pStyle w:val="Listeavsnitt"/>
        <w:numPr>
          <w:ilvl w:val="0"/>
          <w:numId w:val="29"/>
        </w:numPr>
      </w:pPr>
      <w:r>
        <w:t>Kvantifisere virkningen av usikkerhetsdriverne ved å bruke trippelanslag.</w:t>
      </w:r>
    </w:p>
    <w:p w:rsidR="005F1949" w:rsidRDefault="005F1949" w:rsidP="005F1949">
      <w:pPr>
        <w:pStyle w:val="Listeavsnitt"/>
        <w:numPr>
          <w:ilvl w:val="0"/>
          <w:numId w:val="29"/>
        </w:numPr>
      </w:pPr>
      <w:r>
        <w:t>Legge plan for usikkerhetsstyring.</w:t>
      </w:r>
    </w:p>
    <w:p w:rsidR="005F1949" w:rsidRDefault="005F1949" w:rsidP="005F1949">
      <w:r>
        <w:t>Målet for analysen var å gjennomføre en prosess for å få frem et dekkende kostnadsoverslag ved å:</w:t>
      </w:r>
    </w:p>
    <w:p w:rsidR="005F1949" w:rsidRDefault="005F1949" w:rsidP="005F1949">
      <w:pPr>
        <w:pStyle w:val="Listeavsnitt"/>
        <w:numPr>
          <w:ilvl w:val="0"/>
          <w:numId w:val="30"/>
        </w:numPr>
      </w:pPr>
      <w:r>
        <w:t>Finne de realistiske kostnadene for nytt rådhus i Sandnes.</w:t>
      </w:r>
    </w:p>
    <w:p w:rsidR="005F1949" w:rsidRDefault="005F1949" w:rsidP="005F1949">
      <w:pPr>
        <w:pStyle w:val="Listeavsnitt"/>
        <w:numPr>
          <w:ilvl w:val="0"/>
          <w:numId w:val="30"/>
        </w:numPr>
      </w:pPr>
      <w:r>
        <w:t>Identifisere de mest usikre forholdene i prosjektet (usikkerhetsdrivere)</w:t>
      </w:r>
    </w:p>
    <w:p w:rsidR="005F1949" w:rsidRDefault="005F1949" w:rsidP="005F1949">
      <w:pPr>
        <w:pStyle w:val="Listeavsnitt"/>
        <w:numPr>
          <w:ilvl w:val="0"/>
          <w:numId w:val="30"/>
        </w:numPr>
      </w:pPr>
      <w:r>
        <w:lastRenderedPageBreak/>
        <w:t>Kvantifisere usikkerheten i kostnadsoverslagene.</w:t>
      </w:r>
    </w:p>
    <w:p w:rsidR="005F1949" w:rsidRDefault="005F1949" w:rsidP="005F1949">
      <w:pPr>
        <w:pStyle w:val="Listeavsnitt"/>
        <w:numPr>
          <w:ilvl w:val="0"/>
          <w:numId w:val="30"/>
        </w:numPr>
      </w:pPr>
      <w:r>
        <w:t>Synliggjøre forutsetningene i kostnadsoverslaget.</w:t>
      </w:r>
    </w:p>
    <w:p w:rsidR="005F1949" w:rsidRDefault="005F1949" w:rsidP="005F1949">
      <w:r>
        <w:t>Følgende punkter oppsummerer fremgangsmåten som ble benyttet under samlingen:</w:t>
      </w:r>
    </w:p>
    <w:p w:rsidR="005F1949" w:rsidRDefault="005F1949" w:rsidP="005F1949">
      <w:pPr>
        <w:pStyle w:val="Listeavsnitt"/>
        <w:numPr>
          <w:ilvl w:val="0"/>
          <w:numId w:val="31"/>
        </w:numPr>
      </w:pPr>
      <w:r>
        <w:t xml:space="preserve">Innledning </w:t>
      </w:r>
    </w:p>
    <w:p w:rsidR="005F1949" w:rsidRDefault="005F1949" w:rsidP="005F1949">
      <w:pPr>
        <w:pStyle w:val="Listeavsnitt"/>
        <w:numPr>
          <w:ilvl w:val="0"/>
          <w:numId w:val="31"/>
        </w:numPr>
      </w:pPr>
      <w:r>
        <w:t>Gjennomgang av situasjonskart</w:t>
      </w:r>
    </w:p>
    <w:p w:rsidR="005F1949" w:rsidRDefault="005F1949" w:rsidP="005F1949">
      <w:pPr>
        <w:pStyle w:val="Listeavsnitt"/>
        <w:numPr>
          <w:ilvl w:val="0"/>
          <w:numId w:val="31"/>
        </w:numPr>
      </w:pPr>
      <w:r>
        <w:t>Identifisere usikkerhetsdrivere</w:t>
      </w:r>
    </w:p>
    <w:p w:rsidR="00F849EF" w:rsidRDefault="00F849EF" w:rsidP="00F849EF">
      <w:pPr>
        <w:pStyle w:val="Listeavsnitt"/>
        <w:numPr>
          <w:ilvl w:val="0"/>
          <w:numId w:val="31"/>
        </w:numPr>
      </w:pPr>
      <w:r>
        <w:t>Gjennomgang av kostnadsoverslag</w:t>
      </w:r>
    </w:p>
    <w:p w:rsidR="005F1949" w:rsidRDefault="005F1949" w:rsidP="005F1949">
      <w:pPr>
        <w:pStyle w:val="Listeavsnitt"/>
        <w:numPr>
          <w:ilvl w:val="0"/>
          <w:numId w:val="31"/>
        </w:numPr>
      </w:pPr>
      <w:r>
        <w:t>Kalkulasjon av hovedposter gjennomført av rådgivere</w:t>
      </w:r>
    </w:p>
    <w:p w:rsidR="005F1949" w:rsidRDefault="005F1949" w:rsidP="005F1949">
      <w:pPr>
        <w:pStyle w:val="Listeavsnitt"/>
        <w:numPr>
          <w:ilvl w:val="0"/>
          <w:numId w:val="31"/>
        </w:numPr>
      </w:pPr>
      <w:r>
        <w:t>Kvantifisere virkningen av usikkerhetsdriverne ved å bruke trippelanslag.</w:t>
      </w:r>
    </w:p>
    <w:p w:rsidR="005F1949" w:rsidRDefault="005F1949" w:rsidP="005F1949">
      <w:pPr>
        <w:pStyle w:val="Listeavsnitt"/>
        <w:numPr>
          <w:ilvl w:val="0"/>
          <w:numId w:val="31"/>
        </w:numPr>
      </w:pPr>
      <w:r>
        <w:t>Plassere usikkerhetselementer inn i usikkerhetsmatrise for videre oppfølging.</w:t>
      </w:r>
    </w:p>
    <w:p w:rsidR="00D50189" w:rsidRDefault="00D50189" w:rsidP="00B30221">
      <w:pPr>
        <w:rPr>
          <w:b/>
          <w:sz w:val="28"/>
          <w:szCs w:val="28"/>
          <w:u w:val="single"/>
        </w:rPr>
      </w:pPr>
    </w:p>
    <w:p w:rsidR="00720FD8" w:rsidRDefault="00720FD8" w:rsidP="00B30221">
      <w:pPr>
        <w:rPr>
          <w:b/>
          <w:sz w:val="28"/>
          <w:szCs w:val="28"/>
          <w:u w:val="single"/>
        </w:rPr>
      </w:pPr>
      <w:r w:rsidRPr="00720FD8">
        <w:rPr>
          <w:b/>
          <w:sz w:val="28"/>
          <w:szCs w:val="28"/>
          <w:u w:val="single"/>
        </w:rPr>
        <w:t>Vurderinger:</w:t>
      </w:r>
    </w:p>
    <w:p w:rsidR="002160F4" w:rsidRPr="00C65438" w:rsidRDefault="00060EC1" w:rsidP="00B16930">
      <w:pPr>
        <w:spacing w:after="0"/>
        <w:rPr>
          <w:u w:val="single"/>
        </w:rPr>
      </w:pPr>
      <w:r>
        <w:rPr>
          <w:u w:val="single"/>
        </w:rPr>
        <w:t>Kostnadskalkyle</w:t>
      </w:r>
    </w:p>
    <w:p w:rsidR="00632AA2" w:rsidRDefault="00A17D9F" w:rsidP="001F6E38">
      <w:pPr>
        <w:spacing w:after="0"/>
      </w:pPr>
      <w:r>
        <w:t>Kostnadskalkyle</w:t>
      </w:r>
      <w:r w:rsidR="001F6E38">
        <w:t>n</w:t>
      </w:r>
      <w:r>
        <w:t xml:space="preserve"> basert på priser for landsgjennomsnittet</w:t>
      </w:r>
      <w:r w:rsidR="00FD280A">
        <w:t xml:space="preserve"> </w:t>
      </w:r>
      <w:r w:rsidR="00D17DA0">
        <w:t>er</w:t>
      </w:r>
      <w:r w:rsidR="00FD280A">
        <w:t xml:space="preserve"> 453MNOK</w:t>
      </w:r>
      <w:r w:rsidR="00632AA2">
        <w:t xml:space="preserve">. </w:t>
      </w:r>
      <w:r w:rsidR="00FD280A">
        <w:t>Dette er i utgangspunktet 63MNOK over v</w:t>
      </w:r>
      <w:r w:rsidR="00632AA2">
        <w:t>edtatt budsjettramme på 390MNOK</w:t>
      </w:r>
      <w:r w:rsidR="00407CAD">
        <w:t xml:space="preserve"> men</w:t>
      </w:r>
      <w:r w:rsidR="001F6E38">
        <w:t xml:space="preserve"> prosjektet har vurdert det riktig å ta </w:t>
      </w:r>
      <w:r w:rsidR="00632AA2">
        <w:t xml:space="preserve">med </w:t>
      </w:r>
      <w:r w:rsidR="00407CAD">
        <w:t xml:space="preserve">lokal markedsnedgang </w:t>
      </w:r>
      <w:r w:rsidR="001F6E38">
        <w:t>i be</w:t>
      </w:r>
      <w:r w:rsidR="00632AA2">
        <w:t>regningene</w:t>
      </w:r>
      <w:r w:rsidR="00675AD6">
        <w:t xml:space="preserve">. </w:t>
      </w:r>
    </w:p>
    <w:p w:rsidR="001F6E38" w:rsidRDefault="00632AA2" w:rsidP="001F6E38">
      <w:pPr>
        <w:spacing w:after="0"/>
      </w:pPr>
      <w:r>
        <w:t>S</w:t>
      </w:r>
      <w:r w:rsidR="00675AD6">
        <w:t xml:space="preserve">pørsmålet er hvor mye dette vil utgjøre for </w:t>
      </w:r>
      <w:r w:rsidR="00407CAD">
        <w:t>prosjektet</w:t>
      </w:r>
      <w:r w:rsidR="00675AD6">
        <w:t xml:space="preserve">. I K1 ble markedsreduksjon </w:t>
      </w:r>
      <w:r>
        <w:t>vurdert</w:t>
      </w:r>
      <w:r w:rsidR="00675AD6">
        <w:t xml:space="preserve"> til 13% og prosjektet </w:t>
      </w:r>
      <w:r w:rsidR="001F6E38">
        <w:t xml:space="preserve">har </w:t>
      </w:r>
      <w:r>
        <w:t xml:space="preserve">også denne gangen </w:t>
      </w:r>
      <w:r w:rsidR="001F6E38">
        <w:t xml:space="preserve">valgt å beholde </w:t>
      </w:r>
      <w:r w:rsidR="00407CAD">
        <w:t>tilsvarende</w:t>
      </w:r>
      <w:r w:rsidR="00675AD6">
        <w:t xml:space="preserve"> nivå basert</w:t>
      </w:r>
      <w:r w:rsidR="001F6E38">
        <w:t xml:space="preserve"> på uttalelser fra 3 større entreprenørene i området. Disse uttaler seg sikrere nå enn i februar og sier samtidig at tidspunktet for anbudsutsendelse i oktober er riktig. </w:t>
      </w:r>
    </w:p>
    <w:p w:rsidR="00675AD6" w:rsidRDefault="00675AD6" w:rsidP="001F6E38">
      <w:pPr>
        <w:spacing w:after="0"/>
      </w:pPr>
    </w:p>
    <w:p w:rsidR="003F4A08" w:rsidRDefault="00675AD6" w:rsidP="003F4A08">
      <w:r>
        <w:t xml:space="preserve">Kostnadskalkyle inklusivt markedsreduksjon på 13% viser 399MNOK og </w:t>
      </w:r>
      <w:r w:rsidR="00632AA2">
        <w:t>er basert på</w:t>
      </w:r>
      <w:r>
        <w:t xml:space="preserve"> </w:t>
      </w:r>
      <w:r w:rsidR="003F4A08">
        <w:t>anbefalt kvalitetsnivå for nytt rådhus</w:t>
      </w:r>
      <w:r>
        <w:t xml:space="preserve">. </w:t>
      </w:r>
      <w:r w:rsidR="00D17DA0">
        <w:t xml:space="preserve">Skal kalkylen </w:t>
      </w:r>
      <w:r w:rsidR="00051A46">
        <w:t xml:space="preserve">reduseres </w:t>
      </w:r>
      <w:r w:rsidR="00D17DA0">
        <w:t>ned til budsjettrammen</w:t>
      </w:r>
      <w:r w:rsidR="00051A46">
        <w:t>, må de</w:t>
      </w:r>
      <w:r w:rsidR="00F30DAB">
        <w:t>t</w:t>
      </w:r>
      <w:r w:rsidR="00051A46">
        <w:t xml:space="preserve"> </w:t>
      </w:r>
      <w:r w:rsidR="00407CAD">
        <w:t>gjøre</w:t>
      </w:r>
      <w:r w:rsidR="00F30DAB">
        <w:t>s</w:t>
      </w:r>
      <w:r w:rsidR="00407CAD">
        <w:t xml:space="preserve"> </w:t>
      </w:r>
      <w:r w:rsidR="00F30DAB">
        <w:t xml:space="preserve">endringer </w:t>
      </w:r>
      <w:r w:rsidR="00051A46">
        <w:t>på kvaliteter i bygget.</w:t>
      </w:r>
      <w:r w:rsidR="00D17DA0">
        <w:t xml:space="preserve"> </w:t>
      </w:r>
      <w:r w:rsidR="003F4A08">
        <w:t xml:space="preserve">Reduksjon av kvaliteter vil kreve revisjon av </w:t>
      </w:r>
      <w:r w:rsidR="006022B4">
        <w:t xml:space="preserve">de </w:t>
      </w:r>
      <w:r w:rsidR="003F4A08">
        <w:t xml:space="preserve">tegninger og dokumenter </w:t>
      </w:r>
      <w:r w:rsidR="006022B4">
        <w:t xml:space="preserve">som foreligger nå </w:t>
      </w:r>
      <w:r w:rsidR="003F4A08">
        <w:t xml:space="preserve">og vil utsette tidspunkt for anbudsutsendelse med 2-3 måneder. I denne perioden kan markedet endres slik at prosjektet </w:t>
      </w:r>
      <w:r w:rsidR="00F30DAB">
        <w:t xml:space="preserve">kan </w:t>
      </w:r>
      <w:r w:rsidR="003F4A08">
        <w:t>miste deler av den marke</w:t>
      </w:r>
      <w:r w:rsidR="00F30DAB">
        <w:t>dsgevinsten som foreligger nå</w:t>
      </w:r>
      <w:r w:rsidR="003F4A08">
        <w:t>. Revisjon av tegninger og dokumenter vil også gi ekstra prosjekteringskostnader på 1,5-2MNOK som må regnes med i beløp for kostnadsreduksjon.</w:t>
      </w:r>
    </w:p>
    <w:p w:rsidR="00BA139C" w:rsidRDefault="006022B4" w:rsidP="00632AA2">
      <w:pPr>
        <w:spacing w:after="0"/>
      </w:pPr>
      <w:r>
        <w:t>For å redusere kostnader tilsvarende 11MNOK (</w:t>
      </w:r>
      <w:r w:rsidR="003F4A08">
        <w:t>9MNOK + 2MNOK</w:t>
      </w:r>
      <w:r>
        <w:t xml:space="preserve"> prosjekteringskostnader)</w:t>
      </w:r>
      <w:r w:rsidR="003F4A08">
        <w:t xml:space="preserve"> vil </w:t>
      </w:r>
      <w:r>
        <w:t>nedskjæring på</w:t>
      </w:r>
      <w:r w:rsidR="00051A46">
        <w:t xml:space="preserve"> </w:t>
      </w:r>
      <w:r w:rsidR="00051A46" w:rsidRPr="00286819">
        <w:t xml:space="preserve">kvaliteter </w:t>
      </w:r>
      <w:r w:rsidR="00F50336">
        <w:t>kunne bli</w:t>
      </w:r>
      <w:r w:rsidR="00051A46" w:rsidRPr="00286819">
        <w:t xml:space="preserve"> </w:t>
      </w:r>
      <w:r w:rsidR="00BA139C" w:rsidRPr="00286819">
        <w:t>følgende;</w:t>
      </w:r>
    </w:p>
    <w:p w:rsidR="00BA139C" w:rsidRDefault="00BA139C" w:rsidP="00D17DA0">
      <w:pPr>
        <w:pStyle w:val="Listeavsnitt"/>
        <w:numPr>
          <w:ilvl w:val="0"/>
          <w:numId w:val="33"/>
        </w:numPr>
        <w:spacing w:after="0"/>
      </w:pPr>
      <w:r>
        <w:t>Fjerne balkong i bystyresal</w:t>
      </w:r>
    </w:p>
    <w:p w:rsidR="00BA139C" w:rsidRDefault="00BA139C" w:rsidP="00D17DA0">
      <w:pPr>
        <w:pStyle w:val="Listeavsnitt"/>
        <w:numPr>
          <w:ilvl w:val="0"/>
          <w:numId w:val="33"/>
        </w:numPr>
        <w:spacing w:after="0"/>
      </w:pPr>
      <w:r>
        <w:t>Fjerne</w:t>
      </w:r>
      <w:r w:rsidR="00051A46">
        <w:t xml:space="preserve"> spilehimling i </w:t>
      </w:r>
      <w:r>
        <w:t>publikumssonen</w:t>
      </w:r>
    </w:p>
    <w:p w:rsidR="00051A46" w:rsidRDefault="00BA139C" w:rsidP="00D17DA0">
      <w:pPr>
        <w:pStyle w:val="Listeavsnitt"/>
        <w:numPr>
          <w:ilvl w:val="0"/>
          <w:numId w:val="33"/>
        </w:numPr>
        <w:spacing w:after="0"/>
      </w:pPr>
      <w:r>
        <w:t>Fjerne talevarslingssystem og erstatte dette med ringeklokker</w:t>
      </w:r>
    </w:p>
    <w:p w:rsidR="00BA139C" w:rsidRDefault="00BA139C" w:rsidP="00D17DA0">
      <w:pPr>
        <w:pStyle w:val="Listeavsnitt"/>
        <w:numPr>
          <w:ilvl w:val="0"/>
          <w:numId w:val="33"/>
        </w:numPr>
        <w:spacing w:after="0"/>
      </w:pPr>
      <w:r>
        <w:t>Fjerne fliser i publikumssone og erstatte med gulvbelegg (linoleum).</w:t>
      </w:r>
    </w:p>
    <w:p w:rsidR="007935B6" w:rsidRDefault="00635101" w:rsidP="00D17DA0">
      <w:pPr>
        <w:pStyle w:val="Listeavsnitt"/>
        <w:numPr>
          <w:ilvl w:val="0"/>
          <w:numId w:val="33"/>
        </w:numPr>
        <w:spacing w:after="0"/>
      </w:pPr>
      <w:r>
        <w:t>Endre overflater til rimeligere kvaliteter</w:t>
      </w:r>
    </w:p>
    <w:p w:rsidR="00BA139C" w:rsidRDefault="00BA139C" w:rsidP="00632AA2">
      <w:pPr>
        <w:spacing w:after="0"/>
      </w:pPr>
    </w:p>
    <w:p w:rsidR="00F50336" w:rsidRDefault="00FB3227" w:rsidP="009047EA">
      <w:r>
        <w:t>Ved mottak av tilbud</w:t>
      </w:r>
      <w:r w:rsidR="00F50336">
        <w:t xml:space="preserve"> kan det vise seg at prosjektkostnader blir </w:t>
      </w:r>
      <w:r w:rsidR="00F30DAB">
        <w:t>l</w:t>
      </w:r>
      <w:r w:rsidR="00F50336">
        <w:t xml:space="preserve">avere enn budsjettrammen og at </w:t>
      </w:r>
      <w:r w:rsidR="009D3DF4">
        <w:t>nedskjæringer</w:t>
      </w:r>
      <w:r w:rsidR="00F50336">
        <w:t xml:space="preserve"> av kvaliteter ikke hadde vært nødvendig. For å balansere dette, kan kvalitetselementer som fjernes legges inn i anbud som opsjoner.</w:t>
      </w:r>
    </w:p>
    <w:p w:rsidR="0099483C" w:rsidRDefault="0099483C" w:rsidP="009047EA">
      <w:r>
        <w:lastRenderedPageBreak/>
        <w:t>Et annet a</w:t>
      </w:r>
      <w:r w:rsidR="00FB3227">
        <w:t xml:space="preserve">lternativ til nedskjæring av kvaliteter er å beholde anbefalt kvalitetsnivået </w:t>
      </w:r>
      <w:r w:rsidR="00034A2C">
        <w:t xml:space="preserve">slik det nå </w:t>
      </w:r>
      <w:r w:rsidR="00FB3227">
        <w:t>foreligger til 399MNOK og heller</w:t>
      </w:r>
      <w:r w:rsidR="00034A2C">
        <w:t xml:space="preserve"> </w:t>
      </w:r>
      <w:r w:rsidR="00FB3227">
        <w:t xml:space="preserve">beskrive </w:t>
      </w:r>
      <w:r>
        <w:t xml:space="preserve">i anbudet de </w:t>
      </w:r>
      <w:r w:rsidR="00034A2C">
        <w:t xml:space="preserve">ulike kvalitetselementer som </w:t>
      </w:r>
      <w:r w:rsidR="00FB3227">
        <w:t xml:space="preserve">negative opsjoner. </w:t>
      </w:r>
      <w:r>
        <w:t xml:space="preserve">Prosjekteringsgruppen vil </w:t>
      </w:r>
      <w:r w:rsidR="009D3DF4">
        <w:t xml:space="preserve">da </w:t>
      </w:r>
      <w:r>
        <w:t>trenger ca. 2 uker ekstra for å gjør</w:t>
      </w:r>
      <w:r w:rsidR="00F30DAB">
        <w:t>e</w:t>
      </w:r>
      <w:r>
        <w:t xml:space="preserve"> en slik beskrivelse av opsjoner.  </w:t>
      </w:r>
      <w:r w:rsidR="00034A2C">
        <w:t>Hvis det viser seg at tilbud er høyere enn budsjettrammen</w:t>
      </w:r>
      <w:r w:rsidR="00FB3227">
        <w:t xml:space="preserve">, kan byggherren ta i bruk opsjonene for å </w:t>
      </w:r>
      <w:r w:rsidR="00034A2C">
        <w:t>redusere kostnader</w:t>
      </w:r>
      <w:r w:rsidR="00FB3227">
        <w:t>.</w:t>
      </w:r>
    </w:p>
    <w:p w:rsidR="00F50336" w:rsidRDefault="0099483C" w:rsidP="009047EA">
      <w:r>
        <w:t>Et tredje alternativ er fortsatt å beholde anbefalt kvalitetsnivået slik det nå foreligger til 399MNOK og etter kontraktsinngåelse, redusere eventuelle negative kostnadsavvik ved å la prisbærende poster for bygningskvaliteter utgå. Dette er mulig da prisbærende underlag er beskrevet med enhetspriser ihht NS3420</w:t>
      </w:r>
    </w:p>
    <w:p w:rsidR="00F30DAB" w:rsidRDefault="00F30DAB" w:rsidP="009047EA"/>
    <w:p w:rsidR="002160F4" w:rsidRPr="00650CBD" w:rsidRDefault="002160F4" w:rsidP="0028141E">
      <w:pPr>
        <w:spacing w:after="0"/>
        <w:rPr>
          <w:u w:val="single"/>
        </w:rPr>
      </w:pPr>
      <w:r w:rsidRPr="00650CBD">
        <w:rPr>
          <w:u w:val="single"/>
        </w:rPr>
        <w:t>Usikkerhetsanalyse</w:t>
      </w:r>
    </w:p>
    <w:p w:rsidR="00777A84" w:rsidRDefault="000329EC" w:rsidP="0028141E">
      <w:pPr>
        <w:spacing w:after="0"/>
      </w:pPr>
      <w:r>
        <w:t>U</w:t>
      </w:r>
      <w:r w:rsidR="00777A84">
        <w:t>sikkerhetsanalyse er en kvalitativ og kvantitativ analyse som kartlegger usikkerhet og dermed identifiserer sårbare områder og forbedringsmuligheter. Analysen gjennomføres som en gruppeprosess med en gruppe som dekker alle viktige aspekter av usikkerheten i prosjektet.</w:t>
      </w:r>
    </w:p>
    <w:p w:rsidR="00FE1394" w:rsidRDefault="00650CBD" w:rsidP="005F1949">
      <w:r w:rsidRPr="00650CBD">
        <w:t xml:space="preserve">I rapport </w:t>
      </w:r>
      <w:r>
        <w:t xml:space="preserve">er </w:t>
      </w:r>
      <w:r w:rsidR="00777A84">
        <w:t xml:space="preserve">det lagt inn situasjonskart som viser </w:t>
      </w:r>
      <w:r w:rsidR="00563F5D">
        <w:t>gruppens</w:t>
      </w:r>
      <w:r w:rsidR="00777A84">
        <w:t xml:space="preserve"> vurdering </w:t>
      </w:r>
      <w:r w:rsidR="00563F5D">
        <w:t>av prosjektet. Situasjon</w:t>
      </w:r>
      <w:r w:rsidR="00B7430D">
        <w:t xml:space="preserve">skartet antyder at noen områder </w:t>
      </w:r>
      <w:r w:rsidR="00563F5D">
        <w:t>ha</w:t>
      </w:r>
      <w:r w:rsidR="00B7430D">
        <w:t>r</w:t>
      </w:r>
      <w:r w:rsidR="00563F5D">
        <w:t xml:space="preserve"> større utfordringer enn andre. </w:t>
      </w:r>
      <w:r w:rsidR="00571FB0">
        <w:t xml:space="preserve">Utfordringene varierer </w:t>
      </w:r>
      <w:r w:rsidR="000329EC">
        <w:t xml:space="preserve">alt </w:t>
      </w:r>
      <w:r w:rsidR="00571FB0">
        <w:t>etter hvilken fase prosjektet er i.</w:t>
      </w:r>
    </w:p>
    <w:p w:rsidR="00650CBD" w:rsidRPr="00650CBD" w:rsidRDefault="00571FB0" w:rsidP="005F1949">
      <w:r>
        <w:t xml:space="preserve"> </w:t>
      </w:r>
      <w:r w:rsidR="00650CBD">
        <w:rPr>
          <w:noProof/>
        </w:rPr>
        <w:drawing>
          <wp:inline distT="0" distB="0" distL="0" distR="0" wp14:anchorId="1E628FF7" wp14:editId="099BBB46">
            <wp:extent cx="4541883" cy="34004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1883" cy="3400425"/>
                    </a:xfrm>
                    <a:prstGeom prst="rect">
                      <a:avLst/>
                    </a:prstGeom>
                  </pic:spPr>
                </pic:pic>
              </a:graphicData>
            </a:graphic>
          </wp:inline>
        </w:drawing>
      </w:r>
    </w:p>
    <w:p w:rsidR="00563F5D" w:rsidRDefault="00563F5D" w:rsidP="00563F5D">
      <w:r>
        <w:t xml:space="preserve">Prosjektets «kompleksitet» og «Interessenter» er de områdene som </w:t>
      </w:r>
      <w:r w:rsidR="00571FB0">
        <w:t xml:space="preserve">i denne fasen </w:t>
      </w:r>
      <w:r>
        <w:t xml:space="preserve">vurderes som mest utfordrende. Usikkerheten knyttet til prosjektets «Interessenter» skyldes at dette prosjektet anses som et prestisjeprosjekt i Sandnes kommune. Det er fokus mot prosjektet i media og politikken. Bygget har en del krav i forbindelse med at det skal være et bygg med få utslipp og det stilles store forventninger til at disse kravene innfris. Videre ligger det større utfordringer knyttet til prosjektets «kompleksitet». Bygget er </w:t>
      </w:r>
      <w:r w:rsidR="000329EC">
        <w:t xml:space="preserve">noe </w:t>
      </w:r>
      <w:r>
        <w:t xml:space="preserve">teknisk komplisert og har ulike grensesnitt som prosjektgruppen må ta hensyn til. </w:t>
      </w:r>
    </w:p>
    <w:p w:rsidR="00DF7BCC" w:rsidRDefault="00DF7BCC" w:rsidP="005F1949">
      <w:r>
        <w:lastRenderedPageBreak/>
        <w:t xml:space="preserve">Grunnkalkylen er utarbeidet av prosjektgruppen og </w:t>
      </w:r>
      <w:r w:rsidR="000329EC">
        <w:t>sammenstilt</w:t>
      </w:r>
      <w:r>
        <w:t xml:space="preserve"> av Bygganalyse </w:t>
      </w:r>
      <w:r w:rsidR="00B7430D">
        <w:t xml:space="preserve">AS </w:t>
      </w:r>
      <w:r>
        <w:t>med utgangspunkt i Norsk Prisbok og justert med ulike innspill. Prosjektgruppen mener detaljprosjekteringen er grundigere i dette prosjektet enn i mange andre prosjekter og at dette gir grunnlag</w:t>
      </w:r>
      <w:r w:rsidR="002E457C">
        <w:t xml:space="preserve"> til</w:t>
      </w:r>
      <w:r>
        <w:t xml:space="preserve"> </w:t>
      </w:r>
      <w:r w:rsidR="00B7430D">
        <w:t>mindre</w:t>
      </w:r>
      <w:r>
        <w:t xml:space="preserve"> usikkerhet. </w:t>
      </w:r>
    </w:p>
    <w:p w:rsidR="00DF7BCC" w:rsidRDefault="00BC6394" w:rsidP="005F1949">
      <w:r>
        <w:t xml:space="preserve">I </w:t>
      </w:r>
      <w:r w:rsidR="002E457C">
        <w:t>rapporten</w:t>
      </w:r>
      <w:r w:rsidR="00BD6771">
        <w:t xml:space="preserve"> er</w:t>
      </w:r>
      <w:r>
        <w:t xml:space="preserve"> usikkerhet rundt fagene vurdert. </w:t>
      </w:r>
      <w:r w:rsidR="00BD6771">
        <w:t>En av disse er at</w:t>
      </w:r>
      <w:r>
        <w:t xml:space="preserve"> grunnforhold </w:t>
      </w:r>
      <w:r w:rsidR="00BD6771">
        <w:t>kan</w:t>
      </w:r>
      <w:r>
        <w:t xml:space="preserve"> bli mer utfordrende </w:t>
      </w:r>
      <w:r w:rsidR="00BD6771">
        <w:t xml:space="preserve">en antatt </w:t>
      </w:r>
      <w:r>
        <w:t xml:space="preserve">i form av vanninntrenging fra sjø </w:t>
      </w:r>
      <w:r w:rsidR="00B7430D">
        <w:t>samt</w:t>
      </w:r>
      <w:r>
        <w:t xml:space="preserve"> behov for spunting ved utgravning </w:t>
      </w:r>
      <w:r w:rsidR="00B7430D">
        <w:t>av</w:t>
      </w:r>
      <w:r>
        <w:t xml:space="preserve"> teknisk rom. Videre nevnes liten plass til utst</w:t>
      </w:r>
      <w:r w:rsidR="007A0CD7">
        <w:t>yr og føringsveier over himling som en utfordring for de tekniske fagene. Kostnader for utomhusarealet er lav</w:t>
      </w:r>
      <w:r w:rsidR="000329EC">
        <w:t>t</w:t>
      </w:r>
      <w:r w:rsidR="007A0CD7">
        <w:t xml:space="preserve"> men skyldes lite uteområdet hvor prosjektet kun har ansvar innenfor tomtegrense. Utomhusarealet </w:t>
      </w:r>
      <w:r w:rsidR="00BD6771">
        <w:t>har ikke blitt</w:t>
      </w:r>
      <w:r w:rsidR="007A0CD7">
        <w:t xml:space="preserve"> detaljprosjektert i påvente av godkjent reguleringsplan. Under generelle kostander er ca. 70% av prosjekteringskostnadene brukt. Prosjekteringskostnadene skal videre dekke oppfølging i byggetiden og avslutning av prosjektet. Denne posten vil være krevende og trenger fokus og kontroll.  Kostnadene knyttet til inventar er nedjustert siden forprosjektet på bakgrunn av mer detaljert </w:t>
      </w:r>
      <w:r w:rsidR="00BD6771">
        <w:t>informasjon</w:t>
      </w:r>
      <w:r w:rsidR="007A0CD7">
        <w:t xml:space="preserve"> fra rammeleverandør og tall fra Kristiansand rådhus. </w:t>
      </w:r>
      <w:r w:rsidR="00086A0D">
        <w:t>Her vil fokus på kvalitet være avgjørende for å holde kostnader innenfor rammen.</w:t>
      </w:r>
    </w:p>
    <w:p w:rsidR="00086A0D" w:rsidRDefault="00086A0D" w:rsidP="005F1949">
      <w:r>
        <w:t>Gruppen vurderte to drivere som relevante på dette stadiet</w:t>
      </w:r>
      <w:r w:rsidR="00B7430D">
        <w:t>. Disse er M</w:t>
      </w:r>
      <w:r>
        <w:t xml:space="preserve">arkedsdriver og Anleggsgjennomføring. </w:t>
      </w:r>
      <w:r w:rsidRPr="00086A0D">
        <w:t xml:space="preserve">Gruppen </w:t>
      </w:r>
      <w:r w:rsidR="000329EC">
        <w:t>har vurdert</w:t>
      </w:r>
      <w:r w:rsidRPr="00086A0D">
        <w:t xml:space="preserve"> markedet som svært godt og i beste fall 5-20% reduksjon av entreprisekostnaden. Videre </w:t>
      </w:r>
      <w:r w:rsidR="000329EC">
        <w:t xml:space="preserve">ble det </w:t>
      </w:r>
      <w:r w:rsidRPr="00086A0D">
        <w:t>vu</w:t>
      </w:r>
      <w:r w:rsidR="000329EC">
        <w:t xml:space="preserve">rdert </w:t>
      </w:r>
      <w:r w:rsidRPr="00086A0D">
        <w:t xml:space="preserve">at usikkerheten knyttet til koordineringsutfordringer, teknisk grensesnitt og utfordringer i himling vurderes under anleggsgjennomføring og at denne driveren kan trekke kostnadene opp med forventet verdi på 5% av entreprisekostnaden. </w:t>
      </w:r>
    </w:p>
    <w:p w:rsidR="00086A0D" w:rsidRDefault="00086A0D" w:rsidP="005F1949">
      <w:r>
        <w:t xml:space="preserve">Prosjektledelsen </w:t>
      </w:r>
      <w:r w:rsidR="00E65372">
        <w:t>har</w:t>
      </w:r>
      <w:r w:rsidR="000329EC">
        <w:t xml:space="preserve"> </w:t>
      </w:r>
      <w:r>
        <w:t>ansvar og påvirkningskrav på sluttresultat men e</w:t>
      </w:r>
      <w:r w:rsidRPr="00086A0D">
        <w:t xml:space="preserve">tter analysesamlingen </w:t>
      </w:r>
      <w:r>
        <w:t xml:space="preserve">hadde </w:t>
      </w:r>
      <w:r w:rsidRPr="00086A0D">
        <w:t>prosessledelsen inntrykk av at gruppens trippelanslag ikke ga tilstrekkelig uttrykk for dette. Prosesslederne la derfor til driveren Prosjektorganisasjon og vurderte denne symmetrisk med 10%.</w:t>
      </w:r>
    </w:p>
    <w:p w:rsidR="009D660E" w:rsidRPr="009D660E" w:rsidRDefault="009D660E" w:rsidP="009D660E">
      <w:r w:rsidRPr="009D660E">
        <w:t>Paretodiagrammet i figuren under gir en rangert visning av prosjektets usikkerheter som bidrar mest til den totale usikkerheten i den forventede kostnaden.</w:t>
      </w:r>
    </w:p>
    <w:p w:rsidR="009D660E" w:rsidRPr="00AF64B3" w:rsidRDefault="009D660E" w:rsidP="009D660E">
      <w:pPr>
        <w:rPr>
          <w:rFonts w:ascii="Verdana" w:hAnsi="Verdana"/>
          <w:sz w:val="20"/>
        </w:rPr>
      </w:pPr>
      <w:r>
        <w:rPr>
          <w:noProof/>
        </w:rPr>
        <w:drawing>
          <wp:inline distT="0" distB="0" distL="0" distR="0" wp14:anchorId="32157343" wp14:editId="7BF3AE9F">
            <wp:extent cx="5991225" cy="1323975"/>
            <wp:effectExtent l="0" t="0" r="9525" b="952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5217" cy="1413251"/>
                    </a:xfrm>
                    <a:prstGeom prst="rect">
                      <a:avLst/>
                    </a:prstGeom>
                  </pic:spPr>
                </pic:pic>
              </a:graphicData>
            </a:graphic>
          </wp:inline>
        </w:drawing>
      </w:r>
    </w:p>
    <w:p w:rsidR="009D660E" w:rsidRPr="00AF64B3" w:rsidRDefault="009D660E" w:rsidP="009D660E">
      <w:pPr>
        <w:pStyle w:val="Bildetekst"/>
        <w:jc w:val="center"/>
        <w:rPr>
          <w:sz w:val="20"/>
        </w:rPr>
      </w:pPr>
      <w:r w:rsidRPr="00AF64B3">
        <w:rPr>
          <w:sz w:val="20"/>
        </w:rPr>
        <w:t xml:space="preserve"> Figur </w:t>
      </w:r>
      <w:r w:rsidR="00EF6B70">
        <w:rPr>
          <w:sz w:val="20"/>
        </w:rPr>
        <w:t>2</w:t>
      </w:r>
      <w:r w:rsidRPr="00AF64B3">
        <w:rPr>
          <w:sz w:val="20"/>
        </w:rPr>
        <w:t xml:space="preserve"> Paretodiagram</w:t>
      </w:r>
    </w:p>
    <w:p w:rsidR="00FE1394" w:rsidRDefault="00FE1394" w:rsidP="00F83691">
      <w:r w:rsidRPr="009D660E">
        <w:t xml:space="preserve">Paretodiagrammet gir grunnlag for prioritering av hvilke hovedgrupper av usikkerheter man har mest nytte av å etablere tiltaksplan for. Tiltaksplan skal bidra til å redusere usikkerheten og føre prosjektet til best mulig måloppnåelse. Det anbefales å operasjonalisere tiltak fra det etablerte usikkerhetsregisteret fra gruppesamlingen. </w:t>
      </w:r>
    </w:p>
    <w:p w:rsidR="00F83691" w:rsidRDefault="00C51E33" w:rsidP="00F83691">
      <w:pPr>
        <w:rPr>
          <w:rFonts w:ascii="Verdana" w:hAnsi="Verdana"/>
          <w:sz w:val="20"/>
        </w:rPr>
      </w:pPr>
      <w:r>
        <w:t xml:space="preserve">Usikkerhetsanalysen </w:t>
      </w:r>
      <w:r w:rsidR="00BD6771">
        <w:t>har vurdert</w:t>
      </w:r>
      <w:r w:rsidR="00F83691" w:rsidRPr="009D660E">
        <w:t xml:space="preserve"> 4 ulike scenario </w:t>
      </w:r>
      <w:r w:rsidR="009D660E">
        <w:t>hvor usikkerhetsvurdering</w:t>
      </w:r>
      <w:r w:rsidR="009D660E" w:rsidRPr="009D660E">
        <w:t>er</w:t>
      </w:r>
      <w:r w:rsidR="009D660E">
        <w:t xml:space="preserve"> er med i alle scenario mens</w:t>
      </w:r>
      <w:r w:rsidR="009D660E" w:rsidRPr="009D660E">
        <w:t xml:space="preserve"> usikkerhetsdriver</w:t>
      </w:r>
      <w:r w:rsidR="00BD6771">
        <w:t>n</w:t>
      </w:r>
      <w:r w:rsidR="009D660E" w:rsidRPr="009D660E">
        <w:t>e</w:t>
      </w:r>
      <w:r w:rsidR="009D660E">
        <w:t xml:space="preserve"> «Markedsvurdering» og Prosjektorganisasjon» varierer</w:t>
      </w:r>
      <w:r w:rsidR="009D660E" w:rsidRPr="009D660E">
        <w:t>.</w:t>
      </w:r>
    </w:p>
    <w:tbl>
      <w:tblPr>
        <w:tblW w:w="9102" w:type="dxa"/>
        <w:tblCellMar>
          <w:left w:w="70" w:type="dxa"/>
          <w:right w:w="70" w:type="dxa"/>
        </w:tblCellMar>
        <w:tblLook w:val="04A0" w:firstRow="1" w:lastRow="0" w:firstColumn="1" w:lastColumn="0" w:noHBand="0" w:noVBand="1"/>
      </w:tblPr>
      <w:tblGrid>
        <w:gridCol w:w="1105"/>
        <w:gridCol w:w="1826"/>
        <w:gridCol w:w="2049"/>
        <w:gridCol w:w="1105"/>
        <w:gridCol w:w="1105"/>
        <w:gridCol w:w="1105"/>
        <w:gridCol w:w="1105"/>
      </w:tblGrid>
      <w:tr w:rsidR="00F83691" w:rsidRPr="00240611" w:rsidTr="00980678">
        <w:trPr>
          <w:trHeight w:val="266"/>
        </w:trPr>
        <w:tc>
          <w:tcPr>
            <w:tcW w:w="1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83691" w:rsidRPr="00240611" w:rsidRDefault="00F83691" w:rsidP="00980678">
            <w:pPr>
              <w:rPr>
                <w:rFonts w:ascii="Calibri" w:hAnsi="Calibri" w:cs="Calibri"/>
                <w:b/>
                <w:bCs/>
                <w:color w:val="000000"/>
              </w:rPr>
            </w:pPr>
            <w:r w:rsidRPr="00240611">
              <w:rPr>
                <w:rFonts w:ascii="Calibri" w:hAnsi="Calibri" w:cs="Calibri"/>
                <w:b/>
                <w:bCs/>
                <w:color w:val="000000"/>
              </w:rPr>
              <w:lastRenderedPageBreak/>
              <w:t> </w:t>
            </w:r>
          </w:p>
        </w:tc>
        <w:tc>
          <w:tcPr>
            <w:tcW w:w="35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F83691" w:rsidRPr="00240611" w:rsidRDefault="00F83691" w:rsidP="00980678">
            <w:pPr>
              <w:jc w:val="center"/>
              <w:rPr>
                <w:rFonts w:ascii="Calibri" w:hAnsi="Calibri" w:cs="Calibri"/>
                <w:b/>
                <w:bCs/>
                <w:color w:val="000000"/>
              </w:rPr>
            </w:pPr>
            <w:r w:rsidRPr="00240611">
              <w:rPr>
                <w:rFonts w:ascii="Calibri" w:hAnsi="Calibri" w:cs="Calibri"/>
                <w:b/>
                <w:bCs/>
                <w:color w:val="000000"/>
              </w:rPr>
              <w:t>Usikkerhetsdriver</w:t>
            </w:r>
          </w:p>
        </w:tc>
        <w:tc>
          <w:tcPr>
            <w:tcW w:w="22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3691" w:rsidRPr="00240611" w:rsidRDefault="00F83691" w:rsidP="00980678">
            <w:pPr>
              <w:jc w:val="center"/>
              <w:rPr>
                <w:rFonts w:ascii="Calibri" w:hAnsi="Calibri" w:cs="Calibri"/>
                <w:b/>
                <w:bCs/>
                <w:color w:val="000000"/>
              </w:rPr>
            </w:pPr>
            <w:r w:rsidRPr="00240611">
              <w:rPr>
                <w:rFonts w:ascii="Calibri" w:hAnsi="Calibri" w:cs="Calibri"/>
                <w:b/>
                <w:bCs/>
                <w:color w:val="000000"/>
              </w:rPr>
              <w:t>Eks mva.</w:t>
            </w:r>
          </w:p>
        </w:tc>
        <w:tc>
          <w:tcPr>
            <w:tcW w:w="221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F83691" w:rsidRPr="00240611" w:rsidRDefault="00F83691" w:rsidP="00980678">
            <w:pPr>
              <w:jc w:val="center"/>
              <w:rPr>
                <w:rFonts w:ascii="Calibri" w:hAnsi="Calibri" w:cs="Calibri"/>
                <w:b/>
                <w:bCs/>
                <w:color w:val="000000"/>
              </w:rPr>
            </w:pPr>
            <w:r w:rsidRPr="00240611">
              <w:rPr>
                <w:rFonts w:ascii="Calibri" w:hAnsi="Calibri" w:cs="Calibri"/>
                <w:b/>
                <w:bCs/>
                <w:color w:val="000000"/>
              </w:rPr>
              <w:t>Inkl. mva</w:t>
            </w:r>
          </w:p>
        </w:tc>
      </w:tr>
      <w:tr w:rsidR="00F83691" w:rsidRPr="00240611" w:rsidTr="00980678">
        <w:trPr>
          <w:trHeight w:val="266"/>
        </w:trPr>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F83691" w:rsidRPr="00240611" w:rsidRDefault="00F83691" w:rsidP="00980678">
            <w:pPr>
              <w:rPr>
                <w:rFonts w:ascii="Calibri" w:hAnsi="Calibri" w:cs="Calibri"/>
                <w:b/>
                <w:bCs/>
                <w:color w:val="000000"/>
              </w:rPr>
            </w:pPr>
            <w:r w:rsidRPr="00240611">
              <w:rPr>
                <w:rFonts w:ascii="Calibri" w:hAnsi="Calibri" w:cs="Calibri"/>
                <w:b/>
                <w:bCs/>
                <w:color w:val="000000"/>
              </w:rPr>
              <w:t> </w:t>
            </w:r>
          </w:p>
        </w:tc>
        <w:tc>
          <w:tcPr>
            <w:tcW w:w="1681" w:type="dxa"/>
            <w:tcBorders>
              <w:top w:val="nil"/>
              <w:left w:val="nil"/>
              <w:bottom w:val="single" w:sz="4" w:space="0" w:color="auto"/>
              <w:right w:val="single" w:sz="4" w:space="0" w:color="auto"/>
            </w:tcBorders>
            <w:shd w:val="clear" w:color="auto" w:fill="auto"/>
            <w:noWrap/>
            <w:vAlign w:val="bottom"/>
            <w:hideMark/>
          </w:tcPr>
          <w:p w:rsidR="00F83691" w:rsidRDefault="00F83691" w:rsidP="00980678">
            <w:pPr>
              <w:jc w:val="center"/>
              <w:rPr>
                <w:rFonts w:ascii="Calibri" w:hAnsi="Calibri" w:cs="Calibri"/>
                <w:b/>
                <w:bCs/>
                <w:color w:val="000000"/>
              </w:rPr>
            </w:pPr>
            <w:r w:rsidRPr="00240611">
              <w:rPr>
                <w:rFonts w:ascii="Calibri" w:hAnsi="Calibri" w:cs="Calibri"/>
                <w:b/>
                <w:bCs/>
                <w:color w:val="000000"/>
              </w:rPr>
              <w:t>Markedsvurdering</w:t>
            </w:r>
          </w:p>
          <w:p w:rsidR="00F83691" w:rsidRPr="00240611" w:rsidRDefault="00F83691" w:rsidP="00980678">
            <w:pPr>
              <w:jc w:val="center"/>
              <w:rPr>
                <w:rFonts w:ascii="Calibri" w:hAnsi="Calibri" w:cs="Calibri"/>
                <w:b/>
                <w:bCs/>
                <w:color w:val="000000"/>
              </w:rPr>
            </w:pPr>
            <w:r>
              <w:rPr>
                <w:rFonts w:ascii="Calibri" w:hAnsi="Calibri" w:cs="Calibri"/>
                <w:b/>
                <w:bCs/>
                <w:color w:val="000000"/>
              </w:rPr>
              <w:t>(U1)</w:t>
            </w:r>
          </w:p>
        </w:tc>
        <w:tc>
          <w:tcPr>
            <w:tcW w:w="1895" w:type="dxa"/>
            <w:tcBorders>
              <w:top w:val="nil"/>
              <w:left w:val="nil"/>
              <w:bottom w:val="single" w:sz="4" w:space="0" w:color="auto"/>
              <w:right w:val="single" w:sz="4" w:space="0" w:color="auto"/>
            </w:tcBorders>
            <w:shd w:val="clear" w:color="auto" w:fill="auto"/>
            <w:noWrap/>
            <w:vAlign w:val="bottom"/>
            <w:hideMark/>
          </w:tcPr>
          <w:p w:rsidR="00F83691" w:rsidRDefault="00F83691" w:rsidP="00980678">
            <w:pPr>
              <w:jc w:val="center"/>
              <w:rPr>
                <w:rFonts w:ascii="Calibri" w:hAnsi="Calibri" w:cs="Calibri"/>
                <w:b/>
                <w:bCs/>
                <w:color w:val="000000"/>
              </w:rPr>
            </w:pPr>
            <w:r w:rsidRPr="00240611">
              <w:rPr>
                <w:rFonts w:ascii="Calibri" w:hAnsi="Calibri" w:cs="Calibri"/>
                <w:b/>
                <w:bCs/>
                <w:color w:val="000000"/>
              </w:rPr>
              <w:t>Prosjektorganisasjon</w:t>
            </w:r>
          </w:p>
          <w:p w:rsidR="00F83691" w:rsidRPr="00240611" w:rsidRDefault="00F83691" w:rsidP="00980678">
            <w:pPr>
              <w:jc w:val="center"/>
              <w:rPr>
                <w:rFonts w:ascii="Calibri" w:hAnsi="Calibri" w:cs="Calibri"/>
                <w:b/>
                <w:bCs/>
                <w:color w:val="000000"/>
              </w:rPr>
            </w:pPr>
            <w:r>
              <w:rPr>
                <w:rFonts w:ascii="Calibri" w:hAnsi="Calibri" w:cs="Calibri"/>
                <w:b/>
                <w:bCs/>
                <w:color w:val="000000"/>
              </w:rPr>
              <w:t>(U3)</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b/>
                <w:bCs/>
                <w:color w:val="000000"/>
              </w:rPr>
            </w:pPr>
            <w:r w:rsidRPr="00240611">
              <w:rPr>
                <w:rFonts w:ascii="Calibri" w:hAnsi="Calibri" w:cs="Calibri"/>
                <w:b/>
                <w:bCs/>
                <w:color w:val="000000"/>
              </w:rPr>
              <w:t>P50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b/>
                <w:bCs/>
                <w:color w:val="000000"/>
              </w:rPr>
            </w:pPr>
            <w:r w:rsidRPr="00240611">
              <w:rPr>
                <w:rFonts w:ascii="Calibri" w:hAnsi="Calibri" w:cs="Calibri"/>
                <w:b/>
                <w:bCs/>
                <w:color w:val="000000"/>
              </w:rPr>
              <w:t>P85</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b/>
                <w:bCs/>
                <w:color w:val="000000"/>
              </w:rPr>
            </w:pPr>
            <w:r w:rsidRPr="00240611">
              <w:rPr>
                <w:rFonts w:ascii="Calibri" w:hAnsi="Calibri" w:cs="Calibri"/>
                <w:b/>
                <w:bCs/>
                <w:color w:val="000000"/>
              </w:rPr>
              <w:t>P50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b/>
                <w:bCs/>
                <w:color w:val="000000"/>
              </w:rPr>
            </w:pPr>
            <w:r w:rsidRPr="00240611">
              <w:rPr>
                <w:rFonts w:ascii="Calibri" w:hAnsi="Calibri" w:cs="Calibri"/>
                <w:b/>
                <w:bCs/>
                <w:color w:val="000000"/>
              </w:rPr>
              <w:t>P85</w:t>
            </w:r>
          </w:p>
        </w:tc>
      </w:tr>
      <w:tr w:rsidR="00F83691" w:rsidRPr="00240611" w:rsidTr="00980678">
        <w:trPr>
          <w:trHeight w:val="266"/>
        </w:trPr>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F83691" w:rsidRPr="00240611" w:rsidRDefault="00F83691" w:rsidP="00980678">
            <w:pPr>
              <w:rPr>
                <w:rFonts w:ascii="Calibri" w:hAnsi="Calibri" w:cs="Calibri"/>
                <w:b/>
                <w:bCs/>
                <w:color w:val="000000"/>
              </w:rPr>
            </w:pPr>
            <w:r w:rsidRPr="00240611">
              <w:rPr>
                <w:rFonts w:ascii="Calibri" w:hAnsi="Calibri" w:cs="Calibri"/>
                <w:b/>
                <w:bCs/>
                <w:color w:val="000000"/>
              </w:rPr>
              <w:t>Scenario 1</w:t>
            </w:r>
          </w:p>
        </w:tc>
        <w:tc>
          <w:tcPr>
            <w:tcW w:w="1681"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Uten</w:t>
            </w:r>
          </w:p>
        </w:tc>
        <w:tc>
          <w:tcPr>
            <w:tcW w:w="1895"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Uten</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351</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373</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439</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466</w:t>
            </w:r>
          </w:p>
        </w:tc>
      </w:tr>
      <w:tr w:rsidR="00F83691" w:rsidRPr="00240611" w:rsidTr="00980678">
        <w:trPr>
          <w:trHeight w:val="266"/>
        </w:trPr>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F83691" w:rsidRPr="00240611" w:rsidRDefault="00F83691" w:rsidP="00980678">
            <w:pPr>
              <w:rPr>
                <w:rFonts w:ascii="Calibri" w:hAnsi="Calibri" w:cs="Calibri"/>
                <w:b/>
                <w:bCs/>
                <w:color w:val="000000"/>
              </w:rPr>
            </w:pPr>
            <w:r w:rsidRPr="00240611">
              <w:rPr>
                <w:rFonts w:ascii="Calibri" w:hAnsi="Calibri" w:cs="Calibri"/>
                <w:b/>
                <w:bCs/>
                <w:color w:val="000000"/>
              </w:rPr>
              <w:t>Scenario 2</w:t>
            </w:r>
          </w:p>
        </w:tc>
        <w:tc>
          <w:tcPr>
            <w:tcW w:w="1681"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Med</w:t>
            </w:r>
          </w:p>
        </w:tc>
        <w:tc>
          <w:tcPr>
            <w:tcW w:w="1895"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Uten</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320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346</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400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433</w:t>
            </w:r>
          </w:p>
        </w:tc>
      </w:tr>
      <w:tr w:rsidR="00F83691" w:rsidRPr="00240611" w:rsidTr="00980678">
        <w:trPr>
          <w:trHeight w:val="266"/>
        </w:trPr>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F83691" w:rsidRPr="00240611" w:rsidRDefault="00F83691" w:rsidP="00980678">
            <w:pPr>
              <w:rPr>
                <w:rFonts w:ascii="Calibri" w:hAnsi="Calibri" w:cs="Calibri"/>
                <w:b/>
                <w:bCs/>
                <w:color w:val="000000"/>
              </w:rPr>
            </w:pPr>
            <w:r w:rsidRPr="00240611">
              <w:rPr>
                <w:rFonts w:ascii="Calibri" w:hAnsi="Calibri" w:cs="Calibri"/>
                <w:b/>
                <w:bCs/>
                <w:color w:val="000000"/>
              </w:rPr>
              <w:t>Scenario 3</w:t>
            </w:r>
          </w:p>
        </w:tc>
        <w:tc>
          <w:tcPr>
            <w:tcW w:w="1681"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Uten</w:t>
            </w:r>
          </w:p>
        </w:tc>
        <w:tc>
          <w:tcPr>
            <w:tcW w:w="1895"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Med</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350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387</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438</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484</w:t>
            </w:r>
          </w:p>
        </w:tc>
      </w:tr>
      <w:tr w:rsidR="00F83691" w:rsidRPr="00240611" w:rsidTr="00980678">
        <w:trPr>
          <w:trHeight w:val="266"/>
        </w:trPr>
        <w:tc>
          <w:tcPr>
            <w:tcW w:w="1105" w:type="dxa"/>
            <w:tcBorders>
              <w:top w:val="nil"/>
              <w:left w:val="single" w:sz="4" w:space="0" w:color="auto"/>
              <w:bottom w:val="single" w:sz="4" w:space="0" w:color="auto"/>
              <w:right w:val="single" w:sz="4" w:space="0" w:color="auto"/>
            </w:tcBorders>
            <w:shd w:val="clear" w:color="000000" w:fill="D9D9D9"/>
            <w:noWrap/>
            <w:vAlign w:val="bottom"/>
            <w:hideMark/>
          </w:tcPr>
          <w:p w:rsidR="00F83691" w:rsidRPr="00240611" w:rsidRDefault="00F83691" w:rsidP="00980678">
            <w:pPr>
              <w:rPr>
                <w:rFonts w:ascii="Calibri" w:hAnsi="Calibri" w:cs="Calibri"/>
                <w:b/>
                <w:bCs/>
                <w:color w:val="000000"/>
              </w:rPr>
            </w:pPr>
            <w:r w:rsidRPr="00240611">
              <w:rPr>
                <w:rFonts w:ascii="Calibri" w:hAnsi="Calibri" w:cs="Calibri"/>
                <w:b/>
                <w:bCs/>
                <w:color w:val="000000"/>
              </w:rPr>
              <w:t>Scenario 4</w:t>
            </w:r>
          </w:p>
        </w:tc>
        <w:tc>
          <w:tcPr>
            <w:tcW w:w="1681"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Med</w:t>
            </w:r>
          </w:p>
        </w:tc>
        <w:tc>
          <w:tcPr>
            <w:tcW w:w="1895" w:type="dxa"/>
            <w:tcBorders>
              <w:top w:val="nil"/>
              <w:left w:val="nil"/>
              <w:bottom w:val="single" w:sz="4" w:space="0" w:color="auto"/>
              <w:right w:val="single" w:sz="4" w:space="0" w:color="auto"/>
            </w:tcBorders>
            <w:shd w:val="clear" w:color="auto" w:fill="auto"/>
            <w:noWrap/>
            <w:vAlign w:val="bottom"/>
            <w:hideMark/>
          </w:tcPr>
          <w:p w:rsidR="00F83691" w:rsidRPr="00240611" w:rsidRDefault="00F83691" w:rsidP="00980678">
            <w:pPr>
              <w:jc w:val="center"/>
              <w:rPr>
                <w:rFonts w:ascii="Calibri" w:hAnsi="Calibri" w:cs="Calibri"/>
                <w:color w:val="000000"/>
              </w:rPr>
            </w:pPr>
            <w:r w:rsidRPr="00240611">
              <w:rPr>
                <w:rFonts w:ascii="Calibri" w:hAnsi="Calibri" w:cs="Calibri"/>
                <w:color w:val="000000"/>
              </w:rPr>
              <w:t>Med</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320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385</w:t>
            </w:r>
          </w:p>
        </w:tc>
        <w:tc>
          <w:tcPr>
            <w:tcW w:w="1105" w:type="dxa"/>
            <w:tcBorders>
              <w:top w:val="nil"/>
              <w:left w:val="nil"/>
              <w:bottom w:val="single" w:sz="4" w:space="0" w:color="auto"/>
              <w:right w:val="single" w:sz="4" w:space="0" w:color="auto"/>
            </w:tcBorders>
            <w:shd w:val="clear" w:color="000000" w:fill="A9D08E"/>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400</w:t>
            </w:r>
          </w:p>
        </w:tc>
        <w:tc>
          <w:tcPr>
            <w:tcW w:w="1105" w:type="dxa"/>
            <w:tcBorders>
              <w:top w:val="nil"/>
              <w:left w:val="nil"/>
              <w:bottom w:val="single" w:sz="4" w:space="0" w:color="auto"/>
              <w:right w:val="single" w:sz="4" w:space="0" w:color="auto"/>
            </w:tcBorders>
            <w:shd w:val="clear" w:color="000000" w:fill="FF0000"/>
            <w:noWrap/>
            <w:vAlign w:val="bottom"/>
            <w:hideMark/>
          </w:tcPr>
          <w:p w:rsidR="00F83691" w:rsidRPr="00240611" w:rsidRDefault="00F83691" w:rsidP="00980678">
            <w:pPr>
              <w:jc w:val="right"/>
              <w:rPr>
                <w:rFonts w:ascii="Calibri" w:hAnsi="Calibri" w:cs="Calibri"/>
                <w:color w:val="000000"/>
              </w:rPr>
            </w:pPr>
            <w:r w:rsidRPr="00240611">
              <w:rPr>
                <w:rFonts w:ascii="Calibri" w:hAnsi="Calibri" w:cs="Calibri"/>
                <w:color w:val="000000"/>
              </w:rPr>
              <w:t>481</w:t>
            </w:r>
          </w:p>
        </w:tc>
      </w:tr>
    </w:tbl>
    <w:p w:rsidR="00FE1394" w:rsidRDefault="00FE1394" w:rsidP="00F83691">
      <w:pPr>
        <w:rPr>
          <w:rFonts w:ascii="Verdana" w:hAnsi="Verdana"/>
          <w:sz w:val="14"/>
        </w:rPr>
      </w:pPr>
    </w:p>
    <w:p w:rsidR="00F83691" w:rsidRPr="00BB0A36" w:rsidRDefault="00F83691" w:rsidP="0018315A">
      <w:pPr>
        <w:ind w:left="708"/>
        <w:rPr>
          <w:sz w:val="18"/>
        </w:rPr>
      </w:pPr>
      <w:r>
        <w:rPr>
          <w:rFonts w:ascii="Verdana" w:hAnsi="Verdana"/>
          <w:sz w:val="14"/>
        </w:rPr>
        <w:t xml:space="preserve">U1: </w:t>
      </w:r>
      <w:r w:rsidRPr="00BB0A36">
        <w:rPr>
          <w:rFonts w:ascii="Verdana" w:hAnsi="Verdana"/>
          <w:sz w:val="14"/>
        </w:rPr>
        <w:t>Usikkerhetsvurderingen av marke</w:t>
      </w:r>
      <w:r>
        <w:rPr>
          <w:rFonts w:ascii="Verdana" w:hAnsi="Verdana"/>
          <w:sz w:val="14"/>
        </w:rPr>
        <w:t>det</w:t>
      </w:r>
      <w:r w:rsidRPr="00BB0A36">
        <w:rPr>
          <w:rFonts w:ascii="Verdana" w:hAnsi="Verdana"/>
          <w:sz w:val="14"/>
        </w:rPr>
        <w:t xml:space="preserve"> er lagt inn asymmetrisk på grunn av prosjektets optimisme i forhold til hvordan markedet vil respondere. Virkningene her er en reduksjon av P50 på ca. 31 mnok eks mva og en reduksjon av P85 på ca. 27 mnok eks mva.</w:t>
      </w:r>
    </w:p>
    <w:p w:rsidR="00F83691" w:rsidRPr="00BB0A36" w:rsidRDefault="00F83691" w:rsidP="0018315A">
      <w:pPr>
        <w:ind w:left="708"/>
        <w:rPr>
          <w:sz w:val="18"/>
        </w:rPr>
      </w:pPr>
      <w:r>
        <w:rPr>
          <w:rFonts w:ascii="Verdana" w:hAnsi="Verdana"/>
          <w:sz w:val="14"/>
        </w:rPr>
        <w:t xml:space="preserve">U3: </w:t>
      </w:r>
      <w:r w:rsidRPr="00BB0A36">
        <w:rPr>
          <w:rFonts w:ascii="Verdana" w:hAnsi="Verdana"/>
          <w:sz w:val="14"/>
        </w:rPr>
        <w:t xml:space="preserve">Usikkerhetsvurdering for </w:t>
      </w:r>
      <w:r>
        <w:rPr>
          <w:rFonts w:ascii="Verdana" w:hAnsi="Verdana"/>
          <w:sz w:val="14"/>
        </w:rPr>
        <w:t>Prosjekto</w:t>
      </w:r>
      <w:r w:rsidRPr="00BB0A36">
        <w:rPr>
          <w:rFonts w:ascii="Verdana" w:hAnsi="Verdana"/>
          <w:sz w:val="14"/>
        </w:rPr>
        <w:t>rganisasjonens effekt på sluttresultatet er vurdert til symmetrisk +- 10% av totalkost. Dette medfører tilnærmelsesvis ingen på virkning på P50, men gir ca. 15 mnok i tillegg på P85. Tallene er å forstå eks mva.</w:t>
      </w:r>
    </w:p>
    <w:p w:rsidR="009D660E" w:rsidRPr="009D660E" w:rsidRDefault="00E10168" w:rsidP="009D660E">
      <w:r>
        <w:t>Usikkerhetsrapporten</w:t>
      </w:r>
      <w:r w:rsidR="009D660E" w:rsidRPr="009D660E">
        <w:t xml:space="preserve"> anbefaler at man styrer prosjektet videre etter scenario 4 og med det forbehold som er nevnt over med et budsjett for prosjektet på NOK 320 millioner eks mva (400 ink. mva) og med en usikkerhetsavsetning forvaltet av prosjekteier opp til en øvre ramme på NOK 358 millioner eks. mva. (448 ink. mva).</w:t>
      </w:r>
    </w:p>
    <w:p w:rsidR="00F83691" w:rsidRPr="00BB0A36" w:rsidRDefault="00F83691" w:rsidP="00F83691">
      <w:pPr>
        <w:rPr>
          <w:sz w:val="18"/>
        </w:rPr>
      </w:pPr>
    </w:p>
    <w:p w:rsidR="00530339" w:rsidRDefault="00034A2C" w:rsidP="00530339">
      <w:pPr>
        <w:rPr>
          <w:b/>
          <w:sz w:val="28"/>
          <w:szCs w:val="28"/>
          <w:u w:val="single"/>
        </w:rPr>
      </w:pPr>
      <w:r>
        <w:rPr>
          <w:b/>
          <w:sz w:val="28"/>
          <w:szCs w:val="28"/>
          <w:u w:val="single"/>
        </w:rPr>
        <w:t>Konklusjon</w:t>
      </w:r>
      <w:r w:rsidR="00530339" w:rsidRPr="00720FD8">
        <w:rPr>
          <w:b/>
          <w:sz w:val="28"/>
          <w:szCs w:val="28"/>
          <w:u w:val="single"/>
        </w:rPr>
        <w:t>:</w:t>
      </w:r>
    </w:p>
    <w:p w:rsidR="00E87CC9" w:rsidRDefault="00E87CC9" w:rsidP="005F1949">
      <w:r>
        <w:t xml:space="preserve">Hensikten med </w:t>
      </w:r>
      <w:r w:rsidR="003B2CA2">
        <w:t>kost</w:t>
      </w:r>
      <w:r w:rsidR="00706577">
        <w:t>nads</w:t>
      </w:r>
      <w:r w:rsidR="003B2CA2">
        <w:t>kalky</w:t>
      </w:r>
      <w:r w:rsidR="00706577">
        <w:t>le og usikkerhetsanal</w:t>
      </w:r>
      <w:r w:rsidR="003B2CA2">
        <w:t>y</w:t>
      </w:r>
      <w:r w:rsidR="00706577">
        <w:t>s</w:t>
      </w:r>
      <w:r w:rsidR="003B2CA2">
        <w:t xml:space="preserve">e </w:t>
      </w:r>
      <w:r w:rsidR="00F30DAB">
        <w:t xml:space="preserve">er </w:t>
      </w:r>
      <w:r w:rsidR="00706577">
        <w:t xml:space="preserve">å avdekke </w:t>
      </w:r>
      <w:r>
        <w:t xml:space="preserve">avvik </w:t>
      </w:r>
      <w:r w:rsidR="003B2CA2">
        <w:t xml:space="preserve">mellom </w:t>
      </w:r>
      <w:r w:rsidR="00706577">
        <w:t>estimat</w:t>
      </w:r>
      <w:r w:rsidR="003B2CA2">
        <w:t xml:space="preserve"> og </w:t>
      </w:r>
      <w:r>
        <w:t>budsjettramme på 390MNOK</w:t>
      </w:r>
      <w:r w:rsidR="00706577">
        <w:t xml:space="preserve"> før anbudskonkurranse. </w:t>
      </w:r>
      <w:r w:rsidR="006B3DB6">
        <w:t>I de vurderinger som er gjort,</w:t>
      </w:r>
      <w:r w:rsidR="00A71D02">
        <w:t xml:space="preserve"> an</w:t>
      </w:r>
      <w:r w:rsidR="001E71A3">
        <w:t xml:space="preserve">befales </w:t>
      </w:r>
      <w:r w:rsidR="00353BC3">
        <w:t xml:space="preserve">prosjektets </w:t>
      </w:r>
      <w:r w:rsidR="00A71D02">
        <w:t xml:space="preserve">styringsramme (P50) </w:t>
      </w:r>
      <w:r w:rsidR="00353BC3">
        <w:t>til</w:t>
      </w:r>
      <w:r w:rsidR="00A71D02">
        <w:t xml:space="preserve"> 400MNOK</w:t>
      </w:r>
      <w:r w:rsidR="00E92FF2">
        <w:t xml:space="preserve"> dersom kvalitet og omfang av prosjektet skal være som planlagt så langt. </w:t>
      </w:r>
      <w:r w:rsidR="007B6044">
        <w:t xml:space="preserve">Differansen mellom P50 og P85 </w:t>
      </w:r>
      <w:r w:rsidR="00E10168">
        <w:t xml:space="preserve">utgjør 48MNOK og </w:t>
      </w:r>
      <w:r w:rsidR="007B6044" w:rsidRPr="007B6044">
        <w:t xml:space="preserve">handler om </w:t>
      </w:r>
      <w:r w:rsidR="00E10168">
        <w:t xml:space="preserve">usikkerhetsavsetning og </w:t>
      </w:r>
      <w:r w:rsidR="007B6044" w:rsidRPr="007B6044">
        <w:t>sikkerhet Sandnes kommune vil ha mot overskridelser.</w:t>
      </w:r>
      <w:r w:rsidR="007B6044">
        <w:t xml:space="preserve"> </w:t>
      </w:r>
    </w:p>
    <w:p w:rsidR="00A71D02" w:rsidRPr="00120E8E" w:rsidRDefault="00A71D02" w:rsidP="00A71D02">
      <w:pPr>
        <w:jc w:val="center"/>
        <w:rPr>
          <w:rFonts w:ascii="Verdana" w:hAnsi="Verdana"/>
          <w:b/>
          <w:sz w:val="20"/>
        </w:rPr>
      </w:pPr>
      <w:r>
        <w:rPr>
          <w:rFonts w:ascii="Verdana" w:hAnsi="Verdana"/>
          <w:b/>
          <w:noProof/>
          <w:sz w:val="20"/>
        </w:rPr>
        <w:lastRenderedPageBreak/>
        <w:drawing>
          <wp:inline distT="0" distB="0" distL="0" distR="0" wp14:anchorId="12F51644" wp14:editId="5F63FC41">
            <wp:extent cx="3371850" cy="3328725"/>
            <wp:effectExtent l="0" t="0" r="0" b="508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urve.JPG"/>
                    <pic:cNvPicPr/>
                  </pic:nvPicPr>
                  <pic:blipFill>
                    <a:blip r:embed="rId12">
                      <a:extLst>
                        <a:ext uri="{28A0092B-C50C-407E-A947-70E740481C1C}">
                          <a14:useLocalDpi xmlns:a14="http://schemas.microsoft.com/office/drawing/2010/main" val="0"/>
                        </a:ext>
                      </a:extLst>
                    </a:blip>
                    <a:stretch>
                      <a:fillRect/>
                    </a:stretch>
                  </pic:blipFill>
                  <pic:spPr>
                    <a:xfrm>
                      <a:off x="0" y="0"/>
                      <a:ext cx="3472986" cy="3428568"/>
                    </a:xfrm>
                    <a:prstGeom prst="rect">
                      <a:avLst/>
                    </a:prstGeom>
                  </pic:spPr>
                </pic:pic>
              </a:graphicData>
            </a:graphic>
          </wp:inline>
        </w:drawing>
      </w:r>
    </w:p>
    <w:p w:rsidR="00A71D02" w:rsidRPr="00AF64B3" w:rsidRDefault="00A71D02" w:rsidP="00A71D02">
      <w:pPr>
        <w:pStyle w:val="Bildetekst"/>
        <w:jc w:val="center"/>
        <w:rPr>
          <w:sz w:val="20"/>
        </w:rPr>
      </w:pPr>
      <w:r w:rsidRPr="00AF64B3">
        <w:rPr>
          <w:sz w:val="20"/>
        </w:rPr>
        <w:t xml:space="preserve">Figur </w:t>
      </w:r>
      <w:r w:rsidRPr="00AF64B3">
        <w:rPr>
          <w:sz w:val="20"/>
        </w:rPr>
        <w:fldChar w:fldCharType="begin"/>
      </w:r>
      <w:r w:rsidRPr="00AF64B3">
        <w:rPr>
          <w:sz w:val="20"/>
        </w:rPr>
        <w:instrText xml:space="preserve"> SEQ Figur \* ARABIC </w:instrText>
      </w:r>
      <w:r w:rsidRPr="00AF64B3">
        <w:rPr>
          <w:sz w:val="20"/>
        </w:rPr>
        <w:fldChar w:fldCharType="separate"/>
      </w:r>
      <w:r w:rsidR="00BE1521">
        <w:rPr>
          <w:noProof/>
          <w:sz w:val="20"/>
        </w:rPr>
        <w:t>1</w:t>
      </w:r>
      <w:r w:rsidRPr="00AF64B3">
        <w:rPr>
          <w:noProof/>
          <w:sz w:val="20"/>
        </w:rPr>
        <w:fldChar w:fldCharType="end"/>
      </w:r>
      <w:r w:rsidRPr="00AF64B3">
        <w:rPr>
          <w:sz w:val="20"/>
        </w:rPr>
        <w:t xml:space="preserve"> S-kurve</w:t>
      </w:r>
      <w:r>
        <w:rPr>
          <w:sz w:val="20"/>
        </w:rPr>
        <w:t xml:space="preserve"> (mill. kr inkl</w:t>
      </w:r>
      <w:r w:rsidRPr="00AF64B3">
        <w:rPr>
          <w:sz w:val="20"/>
        </w:rPr>
        <w:t>. mva.)</w:t>
      </w:r>
    </w:p>
    <w:p w:rsidR="00034A2C" w:rsidRDefault="00353BC3">
      <w:r>
        <w:t>Kostnadsavvik mellom anbefalt styringsramm</w:t>
      </w:r>
      <w:r w:rsidR="00192B6D">
        <w:t>e</w:t>
      </w:r>
      <w:r>
        <w:t xml:space="preserve"> (P50) og vedtatt budsjettramme i økonomiplan </w:t>
      </w:r>
      <w:r w:rsidR="00492B1C">
        <w:t xml:space="preserve">er </w:t>
      </w:r>
      <w:r>
        <w:t xml:space="preserve">10MNOK. </w:t>
      </w:r>
    </w:p>
    <w:p w:rsidR="000D35A1" w:rsidRDefault="00034A2C">
      <w:r>
        <w:t xml:space="preserve">For å eliminere </w:t>
      </w:r>
      <w:r w:rsidR="002A4EC7">
        <w:t>vurdert kostnadsavvik til 11MNOK,</w:t>
      </w:r>
      <w:r>
        <w:t xml:space="preserve"> kan prosjektet fjerne kvaliteter i bygges som beskrevet </w:t>
      </w:r>
      <w:r w:rsidR="002A4EC7">
        <w:t>i saken</w:t>
      </w:r>
      <w:r>
        <w:t xml:space="preserve">. </w:t>
      </w:r>
      <w:r w:rsidR="002A4EC7">
        <w:t xml:space="preserve">Dette vil resultere i 2-3 mnd. forsinkelser av prosjektet samt fare for å miste markedsgevinst hvis </w:t>
      </w:r>
      <w:r w:rsidR="00F30DAB">
        <w:t xml:space="preserve">den negative situasjonen </w:t>
      </w:r>
      <w:r w:rsidR="00E92FF2">
        <w:t>som er i markedet i dag snur</w:t>
      </w:r>
      <w:r w:rsidR="002A4EC7">
        <w:t xml:space="preserve">.  </w:t>
      </w:r>
      <w:r w:rsidR="000D35A1">
        <w:t xml:space="preserve">I forhold til drift, kan det bety </w:t>
      </w:r>
      <w:r w:rsidR="00E92FF2">
        <w:t xml:space="preserve">noe </w:t>
      </w:r>
      <w:r w:rsidR="000D35A1">
        <w:t>økte driftsutgifter i forhold til billigere materialer og dermed større vedlikehold</w:t>
      </w:r>
      <w:r w:rsidR="009D3DF4">
        <w:t>skostnader</w:t>
      </w:r>
      <w:r w:rsidR="000D35A1">
        <w:t xml:space="preserve">. </w:t>
      </w:r>
    </w:p>
    <w:p w:rsidR="00E92FF2" w:rsidRDefault="00E92FF2"/>
    <w:p w:rsidR="000D35A1" w:rsidRDefault="002A4EC7">
      <w:r>
        <w:t xml:space="preserve">Alternativt </w:t>
      </w:r>
      <w:r w:rsidR="007935B6">
        <w:t xml:space="preserve">kan kostnadskalkylen på 400NOK beholdes nå men at prosjektet beskriver negative opsjoner i anbudsunderlaget. Byggherren kan da ta disse i bruk hvis det viser seg at tilbud blir høyere enn budsjettrammen. </w:t>
      </w:r>
    </w:p>
    <w:p w:rsidR="00E92FF2" w:rsidRDefault="00E92FF2"/>
    <w:p w:rsidR="001B2ECE" w:rsidRDefault="000D35A1">
      <w:r>
        <w:t>Tredje alternativ er å redusere prisbærende poster etter kontraktsinngåelse med entreprenør hvis det viser seg å vær negativt avvik mellom tilbud og budsjettramme.</w:t>
      </w:r>
      <w:r w:rsidR="001B2ECE">
        <w:br w:type="page"/>
      </w:r>
    </w:p>
    <w:p w:rsidR="0068300B" w:rsidRDefault="000835D0" w:rsidP="005A4DBB">
      <w:pPr>
        <w:rPr>
          <w:b/>
          <w:sz w:val="28"/>
          <w:szCs w:val="28"/>
          <w:u w:val="single"/>
        </w:rPr>
      </w:pPr>
      <w:r w:rsidRPr="00156569">
        <w:rPr>
          <w:b/>
          <w:sz w:val="28"/>
          <w:szCs w:val="28"/>
          <w:u w:val="single"/>
        </w:rPr>
        <w:lastRenderedPageBreak/>
        <w:t>Forslag til vedtak</w:t>
      </w:r>
      <w:r w:rsidRPr="006123FB">
        <w:rPr>
          <w:b/>
          <w:sz w:val="28"/>
          <w:szCs w:val="28"/>
          <w:u w:val="single"/>
        </w:rPr>
        <w:t>:</w:t>
      </w:r>
    </w:p>
    <w:p w:rsidR="006F602D" w:rsidRDefault="006F602D" w:rsidP="00E92FF2">
      <w:pPr>
        <w:pStyle w:val="Listeavsnitt"/>
        <w:numPr>
          <w:ilvl w:val="0"/>
          <w:numId w:val="37"/>
        </w:numPr>
      </w:pPr>
      <w:r>
        <w:t xml:space="preserve">Prosjektet reduserer kvaliteter i </w:t>
      </w:r>
      <w:r w:rsidR="00E92FF2">
        <w:t xml:space="preserve">nytt rådhus </w:t>
      </w:r>
      <w:r>
        <w:t xml:space="preserve">tilsvarende 11MNOK </w:t>
      </w:r>
      <w:r w:rsidR="00E92FF2">
        <w:t xml:space="preserve">ved </w:t>
      </w:r>
      <w:r>
        <w:t xml:space="preserve">å revidere tegninger og dokumenter som nå </w:t>
      </w:r>
      <w:r w:rsidR="00195A7E">
        <w:t>foreligger</w:t>
      </w:r>
      <w:r>
        <w:t xml:space="preserve"> i detaljprosjektet</w:t>
      </w:r>
      <w:r w:rsidR="00E92FF2">
        <w:t>, jfr. saksutredningen</w:t>
      </w:r>
      <w:r>
        <w:t xml:space="preserve">. Endring vil </w:t>
      </w:r>
      <w:r w:rsidR="00E92FF2">
        <w:t xml:space="preserve">medføre </w:t>
      </w:r>
      <w:r>
        <w:t>at</w:t>
      </w:r>
      <w:r w:rsidR="00E92FF2">
        <w:t xml:space="preserve"> </w:t>
      </w:r>
      <w:r>
        <w:t xml:space="preserve">anbudstidspunkt blir </w:t>
      </w:r>
      <w:r w:rsidR="00195A7E">
        <w:t xml:space="preserve">forskjøvet til </w:t>
      </w:r>
      <w:r w:rsidR="00E92FF2">
        <w:t>nyåret 2017 samt at ferdigstillelsetidspunktet forskyves tilsvarende.</w:t>
      </w:r>
      <w:r>
        <w:t xml:space="preserve"> </w:t>
      </w:r>
    </w:p>
    <w:p w:rsidR="000F6970" w:rsidRDefault="000F6970" w:rsidP="00E92FF2">
      <w:pPr>
        <w:pStyle w:val="Listeavsnitt"/>
        <w:numPr>
          <w:ilvl w:val="0"/>
          <w:numId w:val="37"/>
        </w:numPr>
      </w:pPr>
      <w:r>
        <w:t>Saken oversendes rådmannen for videre oppfølging.</w:t>
      </w:r>
    </w:p>
    <w:p w:rsidR="00C51E33" w:rsidRDefault="00C51E33" w:rsidP="00A17ECE">
      <w:pPr>
        <w:pStyle w:val="Listeavsnitt"/>
      </w:pPr>
    </w:p>
    <w:p w:rsidR="00192B6D" w:rsidRDefault="00192B6D" w:rsidP="00A17ECE">
      <w:pPr>
        <w:pStyle w:val="Listeavsnitt"/>
      </w:pPr>
    </w:p>
    <w:p w:rsidR="00192B6D" w:rsidRDefault="00192B6D" w:rsidP="00A17ECE">
      <w:pPr>
        <w:pStyle w:val="Listeavsnitt"/>
      </w:pPr>
      <w:bookmarkStart w:id="0" w:name="_GoBack"/>
      <w:bookmarkEnd w:id="0"/>
    </w:p>
    <w:p w:rsidR="00192B6D" w:rsidRPr="00242E2F" w:rsidRDefault="00192B6D" w:rsidP="00192B6D">
      <w:pPr>
        <w:spacing w:after="0"/>
      </w:pPr>
      <w:r w:rsidRPr="00242E2F">
        <w:t xml:space="preserve">Sandnes Eiendomsselskap KF, </w:t>
      </w:r>
      <w:r>
        <w:t>2</w:t>
      </w:r>
      <w:r w:rsidR="00A7140B">
        <w:t>1</w:t>
      </w:r>
      <w:r>
        <w:t>.09</w:t>
      </w:r>
      <w:r w:rsidRPr="00242E2F">
        <w:t>.2016</w:t>
      </w:r>
    </w:p>
    <w:p w:rsidR="00192B6D" w:rsidRDefault="00192B6D" w:rsidP="00A17ECE">
      <w:pPr>
        <w:pStyle w:val="Listeavsnitt"/>
      </w:pPr>
    </w:p>
    <w:p w:rsidR="00192B6D" w:rsidRDefault="00192B6D" w:rsidP="00A17ECE">
      <w:pPr>
        <w:pStyle w:val="Listeavsnitt"/>
      </w:pPr>
    </w:p>
    <w:p w:rsidR="00097712" w:rsidRPr="00242E2F" w:rsidRDefault="00156569" w:rsidP="00FD5312">
      <w:pPr>
        <w:spacing w:after="0"/>
      </w:pPr>
      <w:r w:rsidRPr="00242E2F">
        <w:t>Torbjørn Sterri</w:t>
      </w:r>
      <w:r w:rsidR="0031752F" w:rsidRPr="00242E2F">
        <w:tab/>
      </w:r>
      <w:r w:rsidR="0031752F" w:rsidRPr="00242E2F">
        <w:tab/>
      </w:r>
      <w:r w:rsidR="00FD5312">
        <w:tab/>
      </w:r>
      <w:r w:rsidR="00FD5312">
        <w:tab/>
      </w:r>
      <w:r w:rsidR="00FD5312">
        <w:tab/>
      </w:r>
    </w:p>
    <w:p w:rsidR="00192B6D" w:rsidRPr="00242E2F" w:rsidRDefault="00192B6D" w:rsidP="00192B6D">
      <w:pPr>
        <w:spacing w:after="0"/>
      </w:pPr>
      <w:r>
        <w:t>D</w:t>
      </w:r>
      <w:r w:rsidRPr="00242E2F">
        <w:t>aglig leder</w:t>
      </w:r>
    </w:p>
    <w:p w:rsidR="00FD5312" w:rsidRDefault="00FD5312" w:rsidP="00242E2F"/>
    <w:p w:rsidR="00FD5312" w:rsidRDefault="00FD5312" w:rsidP="00242E2F"/>
    <w:p w:rsidR="00FD5312" w:rsidRDefault="002C2213" w:rsidP="00242E2F">
      <w:r w:rsidRPr="00242E2F">
        <w:t>Vedlegg:</w:t>
      </w:r>
    </w:p>
    <w:p w:rsidR="00FD5312" w:rsidRDefault="00C51E33" w:rsidP="00060EC1">
      <w:pPr>
        <w:pStyle w:val="Listeavsnitt"/>
        <w:numPr>
          <w:ilvl w:val="0"/>
          <w:numId w:val="27"/>
        </w:numPr>
        <w:spacing w:after="0"/>
      </w:pPr>
      <w:r>
        <w:t>Kostnadsestimat</w:t>
      </w:r>
    </w:p>
    <w:p w:rsidR="00C51E33" w:rsidRPr="00242E2F" w:rsidRDefault="00C51E33" w:rsidP="00060EC1">
      <w:pPr>
        <w:pStyle w:val="Listeavsnitt"/>
        <w:numPr>
          <w:ilvl w:val="0"/>
          <w:numId w:val="27"/>
        </w:numPr>
        <w:spacing w:after="0"/>
      </w:pPr>
      <w:r>
        <w:t>Usikkerhetsanalyse</w:t>
      </w:r>
    </w:p>
    <w:sectPr w:rsidR="00C51E33" w:rsidRPr="00242E2F" w:rsidSect="00FE0E9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60" w:rsidRDefault="00654D60" w:rsidP="00B30221">
      <w:pPr>
        <w:spacing w:after="0" w:line="240" w:lineRule="auto"/>
      </w:pPr>
      <w:r>
        <w:separator/>
      </w:r>
    </w:p>
  </w:endnote>
  <w:endnote w:type="continuationSeparator" w:id="0">
    <w:p w:rsidR="00654D60" w:rsidRDefault="00654D60"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14392"/>
      <w:docPartObj>
        <w:docPartGallery w:val="Page Numbers (Bottom of Page)"/>
        <w:docPartUnique/>
      </w:docPartObj>
    </w:sdtPr>
    <w:sdtEndPr/>
    <w:sdtContent>
      <w:p w:rsidR="00A92861" w:rsidRDefault="00A92861">
        <w:pPr>
          <w:pStyle w:val="Bunntekst"/>
          <w:jc w:val="right"/>
        </w:pPr>
        <w:r>
          <w:fldChar w:fldCharType="begin"/>
        </w:r>
        <w:r>
          <w:instrText>PAGE   \* MERGEFORMAT</w:instrText>
        </w:r>
        <w:r>
          <w:fldChar w:fldCharType="separate"/>
        </w:r>
        <w:r w:rsidR="00E92FF2">
          <w:rPr>
            <w:noProof/>
          </w:rPr>
          <w:t>9</w:t>
        </w:r>
        <w:r>
          <w:fldChar w:fldCharType="end"/>
        </w:r>
      </w:p>
    </w:sdtContent>
  </w:sdt>
  <w:p w:rsidR="00A92861" w:rsidRDefault="00A9286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60" w:rsidRDefault="00654D60" w:rsidP="00B30221">
      <w:pPr>
        <w:spacing w:after="0" w:line="240" w:lineRule="auto"/>
      </w:pPr>
      <w:r>
        <w:separator/>
      </w:r>
    </w:p>
  </w:footnote>
  <w:footnote w:type="continuationSeparator" w:id="0">
    <w:p w:rsidR="00654D60" w:rsidRDefault="00654D60"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46A"/>
    <w:multiLevelType w:val="hybridMultilevel"/>
    <w:tmpl w:val="A17CAA7C"/>
    <w:lvl w:ilvl="0" w:tplc="C64CC8DA">
      <w:start w:val="1"/>
      <w:numFmt w:val="bullet"/>
      <w:lvlText w:val="•"/>
      <w:lvlJc w:val="left"/>
      <w:pPr>
        <w:tabs>
          <w:tab w:val="num" w:pos="720"/>
        </w:tabs>
        <w:ind w:left="720" w:hanging="360"/>
      </w:pPr>
      <w:rPr>
        <w:rFonts w:ascii="Arial" w:hAnsi="Arial" w:hint="default"/>
      </w:rPr>
    </w:lvl>
    <w:lvl w:ilvl="1" w:tplc="E88CEBBC" w:tentative="1">
      <w:start w:val="1"/>
      <w:numFmt w:val="bullet"/>
      <w:lvlText w:val="•"/>
      <w:lvlJc w:val="left"/>
      <w:pPr>
        <w:tabs>
          <w:tab w:val="num" w:pos="1440"/>
        </w:tabs>
        <w:ind w:left="1440" w:hanging="360"/>
      </w:pPr>
      <w:rPr>
        <w:rFonts w:ascii="Arial" w:hAnsi="Arial" w:hint="default"/>
      </w:rPr>
    </w:lvl>
    <w:lvl w:ilvl="2" w:tplc="1D26C380" w:tentative="1">
      <w:start w:val="1"/>
      <w:numFmt w:val="bullet"/>
      <w:lvlText w:val="•"/>
      <w:lvlJc w:val="left"/>
      <w:pPr>
        <w:tabs>
          <w:tab w:val="num" w:pos="2160"/>
        </w:tabs>
        <w:ind w:left="2160" w:hanging="360"/>
      </w:pPr>
      <w:rPr>
        <w:rFonts w:ascii="Arial" w:hAnsi="Arial" w:hint="default"/>
      </w:rPr>
    </w:lvl>
    <w:lvl w:ilvl="3" w:tplc="81E21C1C" w:tentative="1">
      <w:start w:val="1"/>
      <w:numFmt w:val="bullet"/>
      <w:lvlText w:val="•"/>
      <w:lvlJc w:val="left"/>
      <w:pPr>
        <w:tabs>
          <w:tab w:val="num" w:pos="2880"/>
        </w:tabs>
        <w:ind w:left="2880" w:hanging="360"/>
      </w:pPr>
      <w:rPr>
        <w:rFonts w:ascii="Arial" w:hAnsi="Arial" w:hint="default"/>
      </w:rPr>
    </w:lvl>
    <w:lvl w:ilvl="4" w:tplc="DE96B864" w:tentative="1">
      <w:start w:val="1"/>
      <w:numFmt w:val="bullet"/>
      <w:lvlText w:val="•"/>
      <w:lvlJc w:val="left"/>
      <w:pPr>
        <w:tabs>
          <w:tab w:val="num" w:pos="3600"/>
        </w:tabs>
        <w:ind w:left="3600" w:hanging="360"/>
      </w:pPr>
      <w:rPr>
        <w:rFonts w:ascii="Arial" w:hAnsi="Arial" w:hint="default"/>
      </w:rPr>
    </w:lvl>
    <w:lvl w:ilvl="5" w:tplc="4D3414F8" w:tentative="1">
      <w:start w:val="1"/>
      <w:numFmt w:val="bullet"/>
      <w:lvlText w:val="•"/>
      <w:lvlJc w:val="left"/>
      <w:pPr>
        <w:tabs>
          <w:tab w:val="num" w:pos="4320"/>
        </w:tabs>
        <w:ind w:left="4320" w:hanging="360"/>
      </w:pPr>
      <w:rPr>
        <w:rFonts w:ascii="Arial" w:hAnsi="Arial" w:hint="default"/>
      </w:rPr>
    </w:lvl>
    <w:lvl w:ilvl="6" w:tplc="D7E61286" w:tentative="1">
      <w:start w:val="1"/>
      <w:numFmt w:val="bullet"/>
      <w:lvlText w:val="•"/>
      <w:lvlJc w:val="left"/>
      <w:pPr>
        <w:tabs>
          <w:tab w:val="num" w:pos="5040"/>
        </w:tabs>
        <w:ind w:left="5040" w:hanging="360"/>
      </w:pPr>
      <w:rPr>
        <w:rFonts w:ascii="Arial" w:hAnsi="Arial" w:hint="default"/>
      </w:rPr>
    </w:lvl>
    <w:lvl w:ilvl="7" w:tplc="133C6B3C" w:tentative="1">
      <w:start w:val="1"/>
      <w:numFmt w:val="bullet"/>
      <w:lvlText w:val="•"/>
      <w:lvlJc w:val="left"/>
      <w:pPr>
        <w:tabs>
          <w:tab w:val="num" w:pos="5760"/>
        </w:tabs>
        <w:ind w:left="5760" w:hanging="360"/>
      </w:pPr>
      <w:rPr>
        <w:rFonts w:ascii="Arial" w:hAnsi="Arial" w:hint="default"/>
      </w:rPr>
    </w:lvl>
    <w:lvl w:ilvl="8" w:tplc="355A0B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B2FBB"/>
    <w:multiLevelType w:val="hybridMultilevel"/>
    <w:tmpl w:val="90E6310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477E75"/>
    <w:multiLevelType w:val="hybridMultilevel"/>
    <w:tmpl w:val="55786E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C5C88"/>
    <w:multiLevelType w:val="hybridMultilevel"/>
    <w:tmpl w:val="4538E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B235C1"/>
    <w:multiLevelType w:val="hybridMultilevel"/>
    <w:tmpl w:val="5E72D4A8"/>
    <w:lvl w:ilvl="0" w:tplc="DF684400">
      <w:start w:val="1"/>
      <w:numFmt w:val="decimal"/>
      <w:lvlText w:val="%1."/>
      <w:lvlJc w:val="left"/>
      <w:pPr>
        <w:ind w:left="720" w:hanging="360"/>
      </w:pPr>
      <w:rPr>
        <w:b w:val="0"/>
        <w:sz w:val="24"/>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A66BBE"/>
    <w:multiLevelType w:val="hybridMultilevel"/>
    <w:tmpl w:val="6A98A7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63C2926"/>
    <w:multiLevelType w:val="hybridMultilevel"/>
    <w:tmpl w:val="62F48CF4"/>
    <w:lvl w:ilvl="0" w:tplc="62E440EE">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6FF7A89"/>
    <w:multiLevelType w:val="hybridMultilevel"/>
    <w:tmpl w:val="336410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B53B03"/>
    <w:multiLevelType w:val="hybridMultilevel"/>
    <w:tmpl w:val="26BE9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863005"/>
    <w:multiLevelType w:val="hybridMultilevel"/>
    <w:tmpl w:val="C8805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A43810"/>
    <w:multiLevelType w:val="hybridMultilevel"/>
    <w:tmpl w:val="6FA6D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4504E0"/>
    <w:multiLevelType w:val="hybridMultilevel"/>
    <w:tmpl w:val="AF54C45E"/>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1173A2"/>
    <w:multiLevelType w:val="hybridMultilevel"/>
    <w:tmpl w:val="59962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19121D"/>
    <w:multiLevelType w:val="hybridMultilevel"/>
    <w:tmpl w:val="CBCC0B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527FA7"/>
    <w:multiLevelType w:val="hybridMultilevel"/>
    <w:tmpl w:val="6B425D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78E7623"/>
    <w:multiLevelType w:val="hybridMultilevel"/>
    <w:tmpl w:val="4F4C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783CFD"/>
    <w:multiLevelType w:val="hybridMultilevel"/>
    <w:tmpl w:val="EDF09ADC"/>
    <w:lvl w:ilvl="0" w:tplc="04140001">
      <w:start w:val="1"/>
      <w:numFmt w:val="bullet"/>
      <w:lvlText w:val=""/>
      <w:lvlJc w:val="left"/>
      <w:pPr>
        <w:ind w:left="720" w:hanging="360"/>
      </w:pPr>
      <w:rPr>
        <w:rFonts w:ascii="Symbol" w:hAnsi="Symbol" w:hint="default"/>
      </w:rPr>
    </w:lvl>
    <w:lvl w:ilvl="1" w:tplc="8B62985C">
      <w:numFmt w:val="bullet"/>
      <w:lvlText w:val="•"/>
      <w:lvlJc w:val="left"/>
      <w:pPr>
        <w:ind w:left="1440" w:hanging="360"/>
      </w:pPr>
      <w:rPr>
        <w:rFonts w:ascii="Calibri" w:eastAsiaTheme="minorEastAsia" w:hAnsi="Calibri"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6AD21F7"/>
    <w:multiLevelType w:val="hybridMultilevel"/>
    <w:tmpl w:val="6096E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7C91CD0"/>
    <w:multiLevelType w:val="hybridMultilevel"/>
    <w:tmpl w:val="16FC02B2"/>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2" w15:restartNumberingAfterBreak="0">
    <w:nsid w:val="4DA60E66"/>
    <w:multiLevelType w:val="hybridMultilevel"/>
    <w:tmpl w:val="183AF2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00C0FD5"/>
    <w:multiLevelType w:val="hybridMultilevel"/>
    <w:tmpl w:val="2F46D6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4311698"/>
    <w:multiLevelType w:val="hybridMultilevel"/>
    <w:tmpl w:val="E0ACAF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5D056E1"/>
    <w:multiLevelType w:val="hybridMultilevel"/>
    <w:tmpl w:val="95E29B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CC542A1"/>
    <w:multiLevelType w:val="hybridMultilevel"/>
    <w:tmpl w:val="B542469A"/>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D74070"/>
    <w:multiLevelType w:val="hybridMultilevel"/>
    <w:tmpl w:val="85581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2B760DD"/>
    <w:multiLevelType w:val="hybridMultilevel"/>
    <w:tmpl w:val="711A63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AAE5419"/>
    <w:multiLevelType w:val="hybridMultilevel"/>
    <w:tmpl w:val="3B581F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C8F7736"/>
    <w:multiLevelType w:val="hybridMultilevel"/>
    <w:tmpl w:val="5EBE1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ECE2E4E"/>
    <w:multiLevelType w:val="hybridMultilevel"/>
    <w:tmpl w:val="63A4FA9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0734BFF"/>
    <w:multiLevelType w:val="hybridMultilevel"/>
    <w:tmpl w:val="64966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2B97405"/>
    <w:multiLevelType w:val="hybridMultilevel"/>
    <w:tmpl w:val="6F1856B6"/>
    <w:lvl w:ilvl="0" w:tplc="92AA27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5AE6B3B"/>
    <w:multiLevelType w:val="hybridMultilevel"/>
    <w:tmpl w:val="70F4A12C"/>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B2B73EB"/>
    <w:multiLevelType w:val="hybridMultilevel"/>
    <w:tmpl w:val="824051C8"/>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6" w15:restartNumberingAfterBreak="0">
    <w:nsid w:val="7C59249E"/>
    <w:multiLevelType w:val="hybridMultilevel"/>
    <w:tmpl w:val="05445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DB54F8C"/>
    <w:multiLevelType w:val="hybridMultilevel"/>
    <w:tmpl w:val="C1B6F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F496A58"/>
    <w:multiLevelType w:val="hybridMultilevel"/>
    <w:tmpl w:val="CE7E6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F4D0FDE"/>
    <w:multiLevelType w:val="hybridMultilevel"/>
    <w:tmpl w:val="ED686A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8"/>
  </w:num>
  <w:num w:numId="4">
    <w:abstractNumId w:val="15"/>
  </w:num>
  <w:num w:numId="5">
    <w:abstractNumId w:val="2"/>
  </w:num>
  <w:num w:numId="6">
    <w:abstractNumId w:val="25"/>
  </w:num>
  <w:num w:numId="7">
    <w:abstractNumId w:val="13"/>
  </w:num>
  <w:num w:numId="8">
    <w:abstractNumId w:val="29"/>
  </w:num>
  <w:num w:numId="9">
    <w:abstractNumId w:val="36"/>
  </w:num>
  <w:num w:numId="10">
    <w:abstractNumId w:val="30"/>
  </w:num>
  <w:num w:numId="11">
    <w:abstractNumId w:val="3"/>
  </w:num>
  <w:num w:numId="12">
    <w:abstractNumId w:val="32"/>
  </w:num>
  <w:num w:numId="13">
    <w:abstractNumId w:val="39"/>
  </w:num>
  <w:num w:numId="14">
    <w:abstractNumId w:val="24"/>
  </w:num>
  <w:num w:numId="15">
    <w:abstractNumId w:val="33"/>
  </w:num>
  <w:num w:numId="16">
    <w:abstractNumId w:val="19"/>
  </w:num>
  <w:num w:numId="17">
    <w:abstractNumId w:val="38"/>
  </w:num>
  <w:num w:numId="18">
    <w:abstractNumId w:val="1"/>
  </w:num>
  <w:num w:numId="19">
    <w:abstractNumId w:val="5"/>
  </w:num>
  <w:num w:numId="20">
    <w:abstractNumId w:val="28"/>
  </w:num>
  <w:num w:numId="21">
    <w:abstractNumId w:val="6"/>
  </w:num>
  <w:num w:numId="22">
    <w:abstractNumId w:val="20"/>
  </w:num>
  <w:num w:numId="23">
    <w:abstractNumId w:val="22"/>
  </w:num>
  <w:num w:numId="24">
    <w:abstractNumId w:val="23"/>
  </w:num>
  <w:num w:numId="25">
    <w:abstractNumId w:val="0"/>
  </w:num>
  <w:num w:numId="26">
    <w:abstractNumId w:val="27"/>
  </w:num>
  <w:num w:numId="27">
    <w:abstractNumId w:val="11"/>
  </w:num>
  <w:num w:numId="28">
    <w:abstractNumId w:val="7"/>
  </w:num>
  <w:num w:numId="29">
    <w:abstractNumId w:val="16"/>
  </w:num>
  <w:num w:numId="30">
    <w:abstractNumId w:val="8"/>
  </w:num>
  <w:num w:numId="31">
    <w:abstractNumId w:val="9"/>
  </w:num>
  <w:num w:numId="32">
    <w:abstractNumId w:val="34"/>
  </w:num>
  <w:num w:numId="33">
    <w:abstractNumId w:val="10"/>
  </w:num>
  <w:num w:numId="34">
    <w:abstractNumId w:val="37"/>
  </w:num>
  <w:num w:numId="35">
    <w:abstractNumId w:val="35"/>
  </w:num>
  <w:num w:numId="36">
    <w:abstractNumId w:val="14"/>
  </w:num>
  <w:num w:numId="37">
    <w:abstractNumId w:val="12"/>
  </w:num>
  <w:num w:numId="38">
    <w:abstractNumId w:val="21"/>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0620"/>
    <w:rsid w:val="000006FB"/>
    <w:rsid w:val="000009DA"/>
    <w:rsid w:val="0001067B"/>
    <w:rsid w:val="00015234"/>
    <w:rsid w:val="00017279"/>
    <w:rsid w:val="000329EC"/>
    <w:rsid w:val="000334AA"/>
    <w:rsid w:val="00034A2C"/>
    <w:rsid w:val="00034E37"/>
    <w:rsid w:val="000401FE"/>
    <w:rsid w:val="000427A6"/>
    <w:rsid w:val="000444C2"/>
    <w:rsid w:val="00044E0E"/>
    <w:rsid w:val="0004502D"/>
    <w:rsid w:val="00046B8A"/>
    <w:rsid w:val="000508AB"/>
    <w:rsid w:val="0005135B"/>
    <w:rsid w:val="00051514"/>
    <w:rsid w:val="00051A46"/>
    <w:rsid w:val="00051EF3"/>
    <w:rsid w:val="00056B9B"/>
    <w:rsid w:val="00060EC1"/>
    <w:rsid w:val="00064A46"/>
    <w:rsid w:val="00065AD4"/>
    <w:rsid w:val="00067301"/>
    <w:rsid w:val="00073D77"/>
    <w:rsid w:val="00075EBA"/>
    <w:rsid w:val="00081967"/>
    <w:rsid w:val="00082315"/>
    <w:rsid w:val="000835D0"/>
    <w:rsid w:val="00086A0D"/>
    <w:rsid w:val="00091A2B"/>
    <w:rsid w:val="00094E94"/>
    <w:rsid w:val="000953F1"/>
    <w:rsid w:val="000958AA"/>
    <w:rsid w:val="00097712"/>
    <w:rsid w:val="000A2948"/>
    <w:rsid w:val="000B18BF"/>
    <w:rsid w:val="000B2FD2"/>
    <w:rsid w:val="000B30FA"/>
    <w:rsid w:val="000B3549"/>
    <w:rsid w:val="000B4DEE"/>
    <w:rsid w:val="000C0F4E"/>
    <w:rsid w:val="000C6276"/>
    <w:rsid w:val="000D35A1"/>
    <w:rsid w:val="000E19B0"/>
    <w:rsid w:val="000E40BD"/>
    <w:rsid w:val="000E5054"/>
    <w:rsid w:val="000E7A2A"/>
    <w:rsid w:val="000F0349"/>
    <w:rsid w:val="000F423A"/>
    <w:rsid w:val="000F46D9"/>
    <w:rsid w:val="000F6970"/>
    <w:rsid w:val="000F7196"/>
    <w:rsid w:val="000F74B7"/>
    <w:rsid w:val="000F7F02"/>
    <w:rsid w:val="000F7F4C"/>
    <w:rsid w:val="001037B3"/>
    <w:rsid w:val="00104D2E"/>
    <w:rsid w:val="001056E6"/>
    <w:rsid w:val="00111B49"/>
    <w:rsid w:val="001142CF"/>
    <w:rsid w:val="00121466"/>
    <w:rsid w:val="00123FC6"/>
    <w:rsid w:val="00125FA5"/>
    <w:rsid w:val="0012684E"/>
    <w:rsid w:val="001269B0"/>
    <w:rsid w:val="00126D99"/>
    <w:rsid w:val="0013029C"/>
    <w:rsid w:val="00132D62"/>
    <w:rsid w:val="001351F7"/>
    <w:rsid w:val="00135883"/>
    <w:rsid w:val="0013742C"/>
    <w:rsid w:val="00140F42"/>
    <w:rsid w:val="00146DF2"/>
    <w:rsid w:val="00154559"/>
    <w:rsid w:val="00156569"/>
    <w:rsid w:val="001621BA"/>
    <w:rsid w:val="00164F4D"/>
    <w:rsid w:val="00167347"/>
    <w:rsid w:val="00170B40"/>
    <w:rsid w:val="00171891"/>
    <w:rsid w:val="0018315A"/>
    <w:rsid w:val="00184D80"/>
    <w:rsid w:val="00186F28"/>
    <w:rsid w:val="001870CE"/>
    <w:rsid w:val="00190A2F"/>
    <w:rsid w:val="00192B6D"/>
    <w:rsid w:val="00195A7E"/>
    <w:rsid w:val="00196F0B"/>
    <w:rsid w:val="001A23C9"/>
    <w:rsid w:val="001A6993"/>
    <w:rsid w:val="001B2ECE"/>
    <w:rsid w:val="001B4D8D"/>
    <w:rsid w:val="001B5398"/>
    <w:rsid w:val="001B552C"/>
    <w:rsid w:val="001B6F4C"/>
    <w:rsid w:val="001C0E55"/>
    <w:rsid w:val="001D023F"/>
    <w:rsid w:val="001D3E67"/>
    <w:rsid w:val="001D6FE7"/>
    <w:rsid w:val="001E2546"/>
    <w:rsid w:val="001E3DF0"/>
    <w:rsid w:val="001E53EF"/>
    <w:rsid w:val="001E71A3"/>
    <w:rsid w:val="001F1902"/>
    <w:rsid w:val="001F39E8"/>
    <w:rsid w:val="001F64C7"/>
    <w:rsid w:val="001F6E38"/>
    <w:rsid w:val="00200197"/>
    <w:rsid w:val="00206A8B"/>
    <w:rsid w:val="00210B0C"/>
    <w:rsid w:val="00214E2A"/>
    <w:rsid w:val="002160F4"/>
    <w:rsid w:val="00224064"/>
    <w:rsid w:val="00224204"/>
    <w:rsid w:val="00224E87"/>
    <w:rsid w:val="0023392A"/>
    <w:rsid w:val="00233957"/>
    <w:rsid w:val="00235E5D"/>
    <w:rsid w:val="00242E2F"/>
    <w:rsid w:val="0024743A"/>
    <w:rsid w:val="002628F0"/>
    <w:rsid w:val="00263933"/>
    <w:rsid w:val="002645C6"/>
    <w:rsid w:val="00264B10"/>
    <w:rsid w:val="00265A6A"/>
    <w:rsid w:val="002668CA"/>
    <w:rsid w:val="00270BDB"/>
    <w:rsid w:val="00270D60"/>
    <w:rsid w:val="0028141E"/>
    <w:rsid w:val="00281469"/>
    <w:rsid w:val="00286515"/>
    <w:rsid w:val="002866A5"/>
    <w:rsid w:val="00286819"/>
    <w:rsid w:val="00287260"/>
    <w:rsid w:val="00291DDE"/>
    <w:rsid w:val="0029510D"/>
    <w:rsid w:val="0029553C"/>
    <w:rsid w:val="002975E3"/>
    <w:rsid w:val="00297711"/>
    <w:rsid w:val="002A0ADF"/>
    <w:rsid w:val="002A1540"/>
    <w:rsid w:val="002A1D3F"/>
    <w:rsid w:val="002A332C"/>
    <w:rsid w:val="002A4EC7"/>
    <w:rsid w:val="002A6C00"/>
    <w:rsid w:val="002B277D"/>
    <w:rsid w:val="002C1061"/>
    <w:rsid w:val="002C2213"/>
    <w:rsid w:val="002C34A1"/>
    <w:rsid w:val="002C3A06"/>
    <w:rsid w:val="002C4AA7"/>
    <w:rsid w:val="002C586C"/>
    <w:rsid w:val="002C5E28"/>
    <w:rsid w:val="002D00D6"/>
    <w:rsid w:val="002E0BDB"/>
    <w:rsid w:val="002E457C"/>
    <w:rsid w:val="002E68E6"/>
    <w:rsid w:val="002F128C"/>
    <w:rsid w:val="002F39C8"/>
    <w:rsid w:val="002F4ADD"/>
    <w:rsid w:val="002F5D03"/>
    <w:rsid w:val="00305934"/>
    <w:rsid w:val="00306871"/>
    <w:rsid w:val="0031752F"/>
    <w:rsid w:val="0032175E"/>
    <w:rsid w:val="00321951"/>
    <w:rsid w:val="0032407D"/>
    <w:rsid w:val="0032430D"/>
    <w:rsid w:val="00325A07"/>
    <w:rsid w:val="00325BE1"/>
    <w:rsid w:val="00336323"/>
    <w:rsid w:val="0034064A"/>
    <w:rsid w:val="00346240"/>
    <w:rsid w:val="00351D4F"/>
    <w:rsid w:val="00353BC3"/>
    <w:rsid w:val="00353FF8"/>
    <w:rsid w:val="00354354"/>
    <w:rsid w:val="00354AB7"/>
    <w:rsid w:val="003555C7"/>
    <w:rsid w:val="003559A6"/>
    <w:rsid w:val="00357F7D"/>
    <w:rsid w:val="003626A7"/>
    <w:rsid w:val="0036402F"/>
    <w:rsid w:val="00365C8A"/>
    <w:rsid w:val="00367816"/>
    <w:rsid w:val="00371E0C"/>
    <w:rsid w:val="003755C2"/>
    <w:rsid w:val="00384FD2"/>
    <w:rsid w:val="003874B7"/>
    <w:rsid w:val="0039673E"/>
    <w:rsid w:val="003A02C4"/>
    <w:rsid w:val="003A2050"/>
    <w:rsid w:val="003A3553"/>
    <w:rsid w:val="003A6408"/>
    <w:rsid w:val="003A752A"/>
    <w:rsid w:val="003A7DA2"/>
    <w:rsid w:val="003B17C9"/>
    <w:rsid w:val="003B2054"/>
    <w:rsid w:val="003B2CA2"/>
    <w:rsid w:val="003B3714"/>
    <w:rsid w:val="003B5811"/>
    <w:rsid w:val="003C495E"/>
    <w:rsid w:val="003C604E"/>
    <w:rsid w:val="003C6293"/>
    <w:rsid w:val="003D26B2"/>
    <w:rsid w:val="003D5D98"/>
    <w:rsid w:val="003D6101"/>
    <w:rsid w:val="003E0109"/>
    <w:rsid w:val="003E1121"/>
    <w:rsid w:val="003E3E99"/>
    <w:rsid w:val="003E5ACA"/>
    <w:rsid w:val="003F029F"/>
    <w:rsid w:val="003F0B63"/>
    <w:rsid w:val="003F4A08"/>
    <w:rsid w:val="00401E58"/>
    <w:rsid w:val="00403541"/>
    <w:rsid w:val="00407CAD"/>
    <w:rsid w:val="004100C3"/>
    <w:rsid w:val="00411893"/>
    <w:rsid w:val="00416BC4"/>
    <w:rsid w:val="004175DA"/>
    <w:rsid w:val="00420CB9"/>
    <w:rsid w:val="00420FB9"/>
    <w:rsid w:val="00424EB0"/>
    <w:rsid w:val="00433B13"/>
    <w:rsid w:val="00435C1B"/>
    <w:rsid w:val="004366E0"/>
    <w:rsid w:val="004372FB"/>
    <w:rsid w:val="00437313"/>
    <w:rsid w:val="00440416"/>
    <w:rsid w:val="0044144C"/>
    <w:rsid w:val="004429E2"/>
    <w:rsid w:val="00443B6B"/>
    <w:rsid w:val="0045221F"/>
    <w:rsid w:val="004634A8"/>
    <w:rsid w:val="00467861"/>
    <w:rsid w:val="004679EF"/>
    <w:rsid w:val="004723F2"/>
    <w:rsid w:val="004724BB"/>
    <w:rsid w:val="00481537"/>
    <w:rsid w:val="00483530"/>
    <w:rsid w:val="004848E9"/>
    <w:rsid w:val="00485EB5"/>
    <w:rsid w:val="00487D79"/>
    <w:rsid w:val="00492B1C"/>
    <w:rsid w:val="00492C52"/>
    <w:rsid w:val="00496456"/>
    <w:rsid w:val="004977CC"/>
    <w:rsid w:val="004A1307"/>
    <w:rsid w:val="004A49A8"/>
    <w:rsid w:val="004A5A2A"/>
    <w:rsid w:val="004B28BA"/>
    <w:rsid w:val="004B60FD"/>
    <w:rsid w:val="004B675B"/>
    <w:rsid w:val="004C093A"/>
    <w:rsid w:val="004C3B7C"/>
    <w:rsid w:val="004C6DF3"/>
    <w:rsid w:val="004D33E0"/>
    <w:rsid w:val="004D34D5"/>
    <w:rsid w:val="004E0598"/>
    <w:rsid w:val="004E0F9A"/>
    <w:rsid w:val="004E558A"/>
    <w:rsid w:val="004F072C"/>
    <w:rsid w:val="004F397F"/>
    <w:rsid w:val="00501198"/>
    <w:rsid w:val="005052E3"/>
    <w:rsid w:val="00505F6E"/>
    <w:rsid w:val="005145D0"/>
    <w:rsid w:val="00514859"/>
    <w:rsid w:val="00516297"/>
    <w:rsid w:val="00520596"/>
    <w:rsid w:val="00526BF2"/>
    <w:rsid w:val="0052785E"/>
    <w:rsid w:val="00527F4E"/>
    <w:rsid w:val="00530339"/>
    <w:rsid w:val="00530C4A"/>
    <w:rsid w:val="0053330E"/>
    <w:rsid w:val="00540227"/>
    <w:rsid w:val="00542FE9"/>
    <w:rsid w:val="00546E9D"/>
    <w:rsid w:val="00547F55"/>
    <w:rsid w:val="00556544"/>
    <w:rsid w:val="00557D16"/>
    <w:rsid w:val="00562B75"/>
    <w:rsid w:val="00563F5D"/>
    <w:rsid w:val="00571F81"/>
    <w:rsid w:val="00571FB0"/>
    <w:rsid w:val="005743C2"/>
    <w:rsid w:val="005746CE"/>
    <w:rsid w:val="00575497"/>
    <w:rsid w:val="005856F3"/>
    <w:rsid w:val="00585B25"/>
    <w:rsid w:val="00586406"/>
    <w:rsid w:val="0059130B"/>
    <w:rsid w:val="00591DAF"/>
    <w:rsid w:val="005935A5"/>
    <w:rsid w:val="00594DB9"/>
    <w:rsid w:val="005A1E7E"/>
    <w:rsid w:val="005A4DBB"/>
    <w:rsid w:val="005A4FCA"/>
    <w:rsid w:val="005A6F6E"/>
    <w:rsid w:val="005B1991"/>
    <w:rsid w:val="005B42CC"/>
    <w:rsid w:val="005B7B13"/>
    <w:rsid w:val="005C1140"/>
    <w:rsid w:val="005C300B"/>
    <w:rsid w:val="005C4CB6"/>
    <w:rsid w:val="005D08E4"/>
    <w:rsid w:val="005E52D9"/>
    <w:rsid w:val="005E682A"/>
    <w:rsid w:val="005F1949"/>
    <w:rsid w:val="005F2293"/>
    <w:rsid w:val="005F3F08"/>
    <w:rsid w:val="00601347"/>
    <w:rsid w:val="006022B4"/>
    <w:rsid w:val="00603B5B"/>
    <w:rsid w:val="00604D09"/>
    <w:rsid w:val="00611958"/>
    <w:rsid w:val="006122A5"/>
    <w:rsid w:val="006123FB"/>
    <w:rsid w:val="00615CAD"/>
    <w:rsid w:val="00616131"/>
    <w:rsid w:val="00624939"/>
    <w:rsid w:val="006253CF"/>
    <w:rsid w:val="00627625"/>
    <w:rsid w:val="00632AA2"/>
    <w:rsid w:val="00632D8B"/>
    <w:rsid w:val="00635101"/>
    <w:rsid w:val="00635501"/>
    <w:rsid w:val="00640C1E"/>
    <w:rsid w:val="00640F4E"/>
    <w:rsid w:val="00650CBD"/>
    <w:rsid w:val="00654D60"/>
    <w:rsid w:val="006607AA"/>
    <w:rsid w:val="006639E1"/>
    <w:rsid w:val="00665477"/>
    <w:rsid w:val="006654B8"/>
    <w:rsid w:val="006707AA"/>
    <w:rsid w:val="006757DB"/>
    <w:rsid w:val="00675AD6"/>
    <w:rsid w:val="0068205E"/>
    <w:rsid w:val="0068300B"/>
    <w:rsid w:val="00683494"/>
    <w:rsid w:val="006835F0"/>
    <w:rsid w:val="006839C3"/>
    <w:rsid w:val="006842E6"/>
    <w:rsid w:val="00684ABE"/>
    <w:rsid w:val="006908BF"/>
    <w:rsid w:val="0069688B"/>
    <w:rsid w:val="00696BA7"/>
    <w:rsid w:val="006A7323"/>
    <w:rsid w:val="006B0F96"/>
    <w:rsid w:val="006B3DB6"/>
    <w:rsid w:val="006B617C"/>
    <w:rsid w:val="006B6DEA"/>
    <w:rsid w:val="006C7BAA"/>
    <w:rsid w:val="006C7F42"/>
    <w:rsid w:val="006E1B44"/>
    <w:rsid w:val="006E212D"/>
    <w:rsid w:val="006F078A"/>
    <w:rsid w:val="006F50A0"/>
    <w:rsid w:val="006F5D91"/>
    <w:rsid w:val="006F602D"/>
    <w:rsid w:val="006F671A"/>
    <w:rsid w:val="00705046"/>
    <w:rsid w:val="00705CA4"/>
    <w:rsid w:val="00705E9A"/>
    <w:rsid w:val="00706577"/>
    <w:rsid w:val="0071291D"/>
    <w:rsid w:val="00716E09"/>
    <w:rsid w:val="00720FD8"/>
    <w:rsid w:val="0072179D"/>
    <w:rsid w:val="007228EB"/>
    <w:rsid w:val="0072445E"/>
    <w:rsid w:val="00727BEA"/>
    <w:rsid w:val="00734D38"/>
    <w:rsid w:val="007370E2"/>
    <w:rsid w:val="0073743D"/>
    <w:rsid w:val="00740CC7"/>
    <w:rsid w:val="00741A22"/>
    <w:rsid w:val="00753C17"/>
    <w:rsid w:val="0075568D"/>
    <w:rsid w:val="0075769B"/>
    <w:rsid w:val="00763D8A"/>
    <w:rsid w:val="00763E39"/>
    <w:rsid w:val="007653EC"/>
    <w:rsid w:val="00770488"/>
    <w:rsid w:val="00770DD1"/>
    <w:rsid w:val="00771588"/>
    <w:rsid w:val="007719E1"/>
    <w:rsid w:val="00771E1D"/>
    <w:rsid w:val="00777A84"/>
    <w:rsid w:val="00781B98"/>
    <w:rsid w:val="00790D21"/>
    <w:rsid w:val="00793252"/>
    <w:rsid w:val="007935B6"/>
    <w:rsid w:val="00796C19"/>
    <w:rsid w:val="00797AE5"/>
    <w:rsid w:val="007A0CD7"/>
    <w:rsid w:val="007A17B0"/>
    <w:rsid w:val="007A6927"/>
    <w:rsid w:val="007B459C"/>
    <w:rsid w:val="007B5D52"/>
    <w:rsid w:val="007B6044"/>
    <w:rsid w:val="007C053F"/>
    <w:rsid w:val="007C09DD"/>
    <w:rsid w:val="007D427A"/>
    <w:rsid w:val="007D5B61"/>
    <w:rsid w:val="007D6173"/>
    <w:rsid w:val="007D6A85"/>
    <w:rsid w:val="007E2845"/>
    <w:rsid w:val="007E48DB"/>
    <w:rsid w:val="007E6C5C"/>
    <w:rsid w:val="007F2123"/>
    <w:rsid w:val="008005AF"/>
    <w:rsid w:val="00805A71"/>
    <w:rsid w:val="00805EA6"/>
    <w:rsid w:val="00806B0A"/>
    <w:rsid w:val="00811AF6"/>
    <w:rsid w:val="00815F1A"/>
    <w:rsid w:val="00820611"/>
    <w:rsid w:val="008209BE"/>
    <w:rsid w:val="00821907"/>
    <w:rsid w:val="0083130E"/>
    <w:rsid w:val="00832FF8"/>
    <w:rsid w:val="00840D34"/>
    <w:rsid w:val="00841971"/>
    <w:rsid w:val="00842489"/>
    <w:rsid w:val="008432B0"/>
    <w:rsid w:val="00845681"/>
    <w:rsid w:val="00847AE2"/>
    <w:rsid w:val="00847DA3"/>
    <w:rsid w:val="00847FC9"/>
    <w:rsid w:val="00853888"/>
    <w:rsid w:val="00857C5B"/>
    <w:rsid w:val="0086252F"/>
    <w:rsid w:val="00863426"/>
    <w:rsid w:val="008668CB"/>
    <w:rsid w:val="008708AF"/>
    <w:rsid w:val="00873518"/>
    <w:rsid w:val="008813C5"/>
    <w:rsid w:val="008838C1"/>
    <w:rsid w:val="00887FF6"/>
    <w:rsid w:val="00891536"/>
    <w:rsid w:val="00893A0E"/>
    <w:rsid w:val="008A4E5C"/>
    <w:rsid w:val="008B0844"/>
    <w:rsid w:val="008B538A"/>
    <w:rsid w:val="008B6167"/>
    <w:rsid w:val="008B6415"/>
    <w:rsid w:val="008C1A3D"/>
    <w:rsid w:val="008C5FB9"/>
    <w:rsid w:val="008C60CC"/>
    <w:rsid w:val="008D33DB"/>
    <w:rsid w:val="008D4C46"/>
    <w:rsid w:val="008D5A1B"/>
    <w:rsid w:val="008F2508"/>
    <w:rsid w:val="008F7777"/>
    <w:rsid w:val="009043C9"/>
    <w:rsid w:val="009047EA"/>
    <w:rsid w:val="00905B23"/>
    <w:rsid w:val="00915156"/>
    <w:rsid w:val="0091686D"/>
    <w:rsid w:val="00921D9B"/>
    <w:rsid w:val="00924E79"/>
    <w:rsid w:val="00932C2D"/>
    <w:rsid w:val="00933A0F"/>
    <w:rsid w:val="00941544"/>
    <w:rsid w:val="00942173"/>
    <w:rsid w:val="009435FB"/>
    <w:rsid w:val="00943A83"/>
    <w:rsid w:val="009457E0"/>
    <w:rsid w:val="0095677F"/>
    <w:rsid w:val="0096040A"/>
    <w:rsid w:val="009654A7"/>
    <w:rsid w:val="009657F2"/>
    <w:rsid w:val="009679B0"/>
    <w:rsid w:val="00970A24"/>
    <w:rsid w:val="00970D0A"/>
    <w:rsid w:val="00970ECE"/>
    <w:rsid w:val="00971F93"/>
    <w:rsid w:val="0097715D"/>
    <w:rsid w:val="009817F6"/>
    <w:rsid w:val="009873D1"/>
    <w:rsid w:val="0099483C"/>
    <w:rsid w:val="00995250"/>
    <w:rsid w:val="00995292"/>
    <w:rsid w:val="009A0D92"/>
    <w:rsid w:val="009A54F9"/>
    <w:rsid w:val="009A6569"/>
    <w:rsid w:val="009B37EA"/>
    <w:rsid w:val="009B4FEC"/>
    <w:rsid w:val="009B77C0"/>
    <w:rsid w:val="009C3CFD"/>
    <w:rsid w:val="009C5624"/>
    <w:rsid w:val="009C72FA"/>
    <w:rsid w:val="009D3DF4"/>
    <w:rsid w:val="009D660E"/>
    <w:rsid w:val="009D7C5F"/>
    <w:rsid w:val="009E28E6"/>
    <w:rsid w:val="009E646C"/>
    <w:rsid w:val="009E7853"/>
    <w:rsid w:val="009F58D9"/>
    <w:rsid w:val="00A00442"/>
    <w:rsid w:val="00A00938"/>
    <w:rsid w:val="00A021B5"/>
    <w:rsid w:val="00A035EF"/>
    <w:rsid w:val="00A17D9F"/>
    <w:rsid w:val="00A17ECE"/>
    <w:rsid w:val="00A20831"/>
    <w:rsid w:val="00A229CB"/>
    <w:rsid w:val="00A2377F"/>
    <w:rsid w:val="00A24381"/>
    <w:rsid w:val="00A2630D"/>
    <w:rsid w:val="00A32583"/>
    <w:rsid w:val="00A33A75"/>
    <w:rsid w:val="00A33B48"/>
    <w:rsid w:val="00A3497A"/>
    <w:rsid w:val="00A4679A"/>
    <w:rsid w:val="00A50E14"/>
    <w:rsid w:val="00A558BC"/>
    <w:rsid w:val="00A611F5"/>
    <w:rsid w:val="00A61FB7"/>
    <w:rsid w:val="00A64471"/>
    <w:rsid w:val="00A713E7"/>
    <w:rsid w:val="00A7140B"/>
    <w:rsid w:val="00A71D02"/>
    <w:rsid w:val="00A83FD4"/>
    <w:rsid w:val="00A84E19"/>
    <w:rsid w:val="00A86418"/>
    <w:rsid w:val="00A86DA9"/>
    <w:rsid w:val="00A905A3"/>
    <w:rsid w:val="00A92861"/>
    <w:rsid w:val="00A93CFF"/>
    <w:rsid w:val="00A951C6"/>
    <w:rsid w:val="00AA0E80"/>
    <w:rsid w:val="00AA1959"/>
    <w:rsid w:val="00AA45E9"/>
    <w:rsid w:val="00AA60A7"/>
    <w:rsid w:val="00AA7F48"/>
    <w:rsid w:val="00AB39FA"/>
    <w:rsid w:val="00AB695B"/>
    <w:rsid w:val="00AC4AAD"/>
    <w:rsid w:val="00AC5A92"/>
    <w:rsid w:val="00AD2468"/>
    <w:rsid w:val="00AD3D7A"/>
    <w:rsid w:val="00AD6E25"/>
    <w:rsid w:val="00AD7862"/>
    <w:rsid w:val="00AE0097"/>
    <w:rsid w:val="00AE5A8B"/>
    <w:rsid w:val="00AE774F"/>
    <w:rsid w:val="00AF08EB"/>
    <w:rsid w:val="00AF3A29"/>
    <w:rsid w:val="00AF3D10"/>
    <w:rsid w:val="00B0697F"/>
    <w:rsid w:val="00B106CF"/>
    <w:rsid w:val="00B107B7"/>
    <w:rsid w:val="00B16153"/>
    <w:rsid w:val="00B16930"/>
    <w:rsid w:val="00B208F1"/>
    <w:rsid w:val="00B22845"/>
    <w:rsid w:val="00B2444A"/>
    <w:rsid w:val="00B30221"/>
    <w:rsid w:val="00B30CC1"/>
    <w:rsid w:val="00B31E75"/>
    <w:rsid w:val="00B31EC4"/>
    <w:rsid w:val="00B33393"/>
    <w:rsid w:val="00B33884"/>
    <w:rsid w:val="00B4449B"/>
    <w:rsid w:val="00B47632"/>
    <w:rsid w:val="00B5132B"/>
    <w:rsid w:val="00B52A16"/>
    <w:rsid w:val="00B52D1C"/>
    <w:rsid w:val="00B52F44"/>
    <w:rsid w:val="00B539E3"/>
    <w:rsid w:val="00B54786"/>
    <w:rsid w:val="00B54DB9"/>
    <w:rsid w:val="00B666E0"/>
    <w:rsid w:val="00B66A1B"/>
    <w:rsid w:val="00B67CCC"/>
    <w:rsid w:val="00B67FF5"/>
    <w:rsid w:val="00B7183A"/>
    <w:rsid w:val="00B71948"/>
    <w:rsid w:val="00B74307"/>
    <w:rsid w:val="00B7430D"/>
    <w:rsid w:val="00B74435"/>
    <w:rsid w:val="00B7523A"/>
    <w:rsid w:val="00B7732D"/>
    <w:rsid w:val="00B776BA"/>
    <w:rsid w:val="00B80570"/>
    <w:rsid w:val="00B81B54"/>
    <w:rsid w:val="00B83AB0"/>
    <w:rsid w:val="00B90634"/>
    <w:rsid w:val="00B9443F"/>
    <w:rsid w:val="00B95066"/>
    <w:rsid w:val="00BA139C"/>
    <w:rsid w:val="00BA207E"/>
    <w:rsid w:val="00BA2AE8"/>
    <w:rsid w:val="00BA43A9"/>
    <w:rsid w:val="00BA4E0A"/>
    <w:rsid w:val="00BA60AB"/>
    <w:rsid w:val="00BA73D7"/>
    <w:rsid w:val="00BB1A4C"/>
    <w:rsid w:val="00BB4E4C"/>
    <w:rsid w:val="00BB7B87"/>
    <w:rsid w:val="00BC2D26"/>
    <w:rsid w:val="00BC6394"/>
    <w:rsid w:val="00BC664E"/>
    <w:rsid w:val="00BC69D4"/>
    <w:rsid w:val="00BD1C07"/>
    <w:rsid w:val="00BD6771"/>
    <w:rsid w:val="00BD7491"/>
    <w:rsid w:val="00BE1521"/>
    <w:rsid w:val="00BE394A"/>
    <w:rsid w:val="00BE4DF4"/>
    <w:rsid w:val="00BE5C2A"/>
    <w:rsid w:val="00BF1473"/>
    <w:rsid w:val="00BF169A"/>
    <w:rsid w:val="00BF2E5C"/>
    <w:rsid w:val="00C0211C"/>
    <w:rsid w:val="00C03D5E"/>
    <w:rsid w:val="00C12A7B"/>
    <w:rsid w:val="00C27D11"/>
    <w:rsid w:val="00C31F31"/>
    <w:rsid w:val="00C35525"/>
    <w:rsid w:val="00C368A9"/>
    <w:rsid w:val="00C37ECF"/>
    <w:rsid w:val="00C411F1"/>
    <w:rsid w:val="00C41CBB"/>
    <w:rsid w:val="00C45711"/>
    <w:rsid w:val="00C470A3"/>
    <w:rsid w:val="00C4738A"/>
    <w:rsid w:val="00C47C1D"/>
    <w:rsid w:val="00C51E33"/>
    <w:rsid w:val="00C642D6"/>
    <w:rsid w:val="00C65438"/>
    <w:rsid w:val="00C65919"/>
    <w:rsid w:val="00C731E3"/>
    <w:rsid w:val="00C80E7D"/>
    <w:rsid w:val="00C9422A"/>
    <w:rsid w:val="00C94425"/>
    <w:rsid w:val="00CA4973"/>
    <w:rsid w:val="00CB2B40"/>
    <w:rsid w:val="00CB6084"/>
    <w:rsid w:val="00CB695B"/>
    <w:rsid w:val="00CB6B7E"/>
    <w:rsid w:val="00CC17BD"/>
    <w:rsid w:val="00CC5941"/>
    <w:rsid w:val="00CC5B49"/>
    <w:rsid w:val="00CD669B"/>
    <w:rsid w:val="00CE30AC"/>
    <w:rsid w:val="00CE634A"/>
    <w:rsid w:val="00CF224B"/>
    <w:rsid w:val="00CF35BD"/>
    <w:rsid w:val="00CF4C50"/>
    <w:rsid w:val="00CF7710"/>
    <w:rsid w:val="00D0394D"/>
    <w:rsid w:val="00D04837"/>
    <w:rsid w:val="00D056E1"/>
    <w:rsid w:val="00D0678E"/>
    <w:rsid w:val="00D07A20"/>
    <w:rsid w:val="00D1298D"/>
    <w:rsid w:val="00D139B0"/>
    <w:rsid w:val="00D1776F"/>
    <w:rsid w:val="00D17DA0"/>
    <w:rsid w:val="00D27B05"/>
    <w:rsid w:val="00D37A3C"/>
    <w:rsid w:val="00D411C1"/>
    <w:rsid w:val="00D436D5"/>
    <w:rsid w:val="00D45B56"/>
    <w:rsid w:val="00D50189"/>
    <w:rsid w:val="00D53C3A"/>
    <w:rsid w:val="00D60A82"/>
    <w:rsid w:val="00D61BF1"/>
    <w:rsid w:val="00D7384A"/>
    <w:rsid w:val="00D769BA"/>
    <w:rsid w:val="00D826EA"/>
    <w:rsid w:val="00D82AB0"/>
    <w:rsid w:val="00D832B1"/>
    <w:rsid w:val="00D95815"/>
    <w:rsid w:val="00DA4A03"/>
    <w:rsid w:val="00DA5991"/>
    <w:rsid w:val="00DC28AC"/>
    <w:rsid w:val="00DD44EB"/>
    <w:rsid w:val="00DE0FA4"/>
    <w:rsid w:val="00DE0FFB"/>
    <w:rsid w:val="00DE15F8"/>
    <w:rsid w:val="00DE58E6"/>
    <w:rsid w:val="00DF1B65"/>
    <w:rsid w:val="00DF3742"/>
    <w:rsid w:val="00DF47B1"/>
    <w:rsid w:val="00DF7BCC"/>
    <w:rsid w:val="00E10168"/>
    <w:rsid w:val="00E120F0"/>
    <w:rsid w:val="00E158E3"/>
    <w:rsid w:val="00E164BC"/>
    <w:rsid w:val="00E16E6E"/>
    <w:rsid w:val="00E31E93"/>
    <w:rsid w:val="00E32704"/>
    <w:rsid w:val="00E336D5"/>
    <w:rsid w:val="00E35F1D"/>
    <w:rsid w:val="00E4103B"/>
    <w:rsid w:val="00E47C32"/>
    <w:rsid w:val="00E51D94"/>
    <w:rsid w:val="00E54C05"/>
    <w:rsid w:val="00E62959"/>
    <w:rsid w:val="00E64D9C"/>
    <w:rsid w:val="00E65372"/>
    <w:rsid w:val="00E6598B"/>
    <w:rsid w:val="00E67E89"/>
    <w:rsid w:val="00E70A54"/>
    <w:rsid w:val="00E775EB"/>
    <w:rsid w:val="00E87CC9"/>
    <w:rsid w:val="00E908C8"/>
    <w:rsid w:val="00E92A15"/>
    <w:rsid w:val="00E92FF2"/>
    <w:rsid w:val="00E97647"/>
    <w:rsid w:val="00EA04C9"/>
    <w:rsid w:val="00EA4850"/>
    <w:rsid w:val="00EA64C2"/>
    <w:rsid w:val="00EB60AE"/>
    <w:rsid w:val="00EC2660"/>
    <w:rsid w:val="00EE47A0"/>
    <w:rsid w:val="00EF5088"/>
    <w:rsid w:val="00EF5268"/>
    <w:rsid w:val="00EF6B70"/>
    <w:rsid w:val="00F00E2D"/>
    <w:rsid w:val="00F016B3"/>
    <w:rsid w:val="00F04CC7"/>
    <w:rsid w:val="00F07AFB"/>
    <w:rsid w:val="00F12817"/>
    <w:rsid w:val="00F13BC9"/>
    <w:rsid w:val="00F14FDA"/>
    <w:rsid w:val="00F21316"/>
    <w:rsid w:val="00F228E5"/>
    <w:rsid w:val="00F25452"/>
    <w:rsid w:val="00F27E06"/>
    <w:rsid w:val="00F30DAB"/>
    <w:rsid w:val="00F346C7"/>
    <w:rsid w:val="00F36768"/>
    <w:rsid w:val="00F37330"/>
    <w:rsid w:val="00F373F1"/>
    <w:rsid w:val="00F37FD6"/>
    <w:rsid w:val="00F4008E"/>
    <w:rsid w:val="00F4058D"/>
    <w:rsid w:val="00F40A2B"/>
    <w:rsid w:val="00F435CE"/>
    <w:rsid w:val="00F43F9A"/>
    <w:rsid w:val="00F50336"/>
    <w:rsid w:val="00F511B1"/>
    <w:rsid w:val="00F516D1"/>
    <w:rsid w:val="00F52164"/>
    <w:rsid w:val="00F55F05"/>
    <w:rsid w:val="00F571F2"/>
    <w:rsid w:val="00F578A6"/>
    <w:rsid w:val="00F57B00"/>
    <w:rsid w:val="00F6117D"/>
    <w:rsid w:val="00F65156"/>
    <w:rsid w:val="00F65949"/>
    <w:rsid w:val="00F65E15"/>
    <w:rsid w:val="00F663A5"/>
    <w:rsid w:val="00F66AAE"/>
    <w:rsid w:val="00F76D10"/>
    <w:rsid w:val="00F80F78"/>
    <w:rsid w:val="00F82785"/>
    <w:rsid w:val="00F834DF"/>
    <w:rsid w:val="00F83691"/>
    <w:rsid w:val="00F849EF"/>
    <w:rsid w:val="00F9035D"/>
    <w:rsid w:val="00F92E8D"/>
    <w:rsid w:val="00F9373C"/>
    <w:rsid w:val="00F96D24"/>
    <w:rsid w:val="00F97614"/>
    <w:rsid w:val="00FA38A2"/>
    <w:rsid w:val="00FB1204"/>
    <w:rsid w:val="00FB1BCE"/>
    <w:rsid w:val="00FB3227"/>
    <w:rsid w:val="00FB35FD"/>
    <w:rsid w:val="00FB3965"/>
    <w:rsid w:val="00FB3A62"/>
    <w:rsid w:val="00FB4FD8"/>
    <w:rsid w:val="00FC5585"/>
    <w:rsid w:val="00FC7BDF"/>
    <w:rsid w:val="00FD01EA"/>
    <w:rsid w:val="00FD1867"/>
    <w:rsid w:val="00FD280A"/>
    <w:rsid w:val="00FD28C8"/>
    <w:rsid w:val="00FD5312"/>
    <w:rsid w:val="00FE0E9D"/>
    <w:rsid w:val="00FE1394"/>
    <w:rsid w:val="00FE5191"/>
    <w:rsid w:val="00FE744D"/>
    <w:rsid w:val="00FF12CA"/>
    <w:rsid w:val="00FF1E92"/>
    <w:rsid w:val="00FF3E3A"/>
    <w:rsid w:val="00FF51C5"/>
    <w:rsid w:val="00FF78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7422978-5403-4AD1-AC48-2199E223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Ingenmellomrom">
    <w:name w:val="No Spacing"/>
    <w:link w:val="IngenmellomromTegn"/>
    <w:uiPriority w:val="1"/>
    <w:qFormat/>
    <w:rsid w:val="00F21316"/>
    <w:pPr>
      <w:spacing w:after="0" w:line="240" w:lineRule="auto"/>
    </w:pPr>
    <w:rPr>
      <w:rFonts w:eastAsiaTheme="minorHAnsi"/>
      <w:lang w:eastAsia="en-US"/>
    </w:rPr>
  </w:style>
  <w:style w:type="character" w:customStyle="1" w:styleId="IngenmellomromTegn">
    <w:name w:val="Ingen mellomrom Tegn"/>
    <w:basedOn w:val="Standardskriftforavsnitt"/>
    <w:link w:val="Ingenmellomrom"/>
    <w:uiPriority w:val="1"/>
    <w:rsid w:val="00F21316"/>
    <w:rPr>
      <w:rFonts w:eastAsiaTheme="minorHAnsi"/>
      <w:lang w:eastAsia="en-US"/>
    </w:rPr>
  </w:style>
  <w:style w:type="paragraph" w:customStyle="1" w:styleId="Default">
    <w:name w:val="Default"/>
    <w:rsid w:val="00F04CC7"/>
    <w:pPr>
      <w:autoSpaceDE w:val="0"/>
      <w:autoSpaceDN w:val="0"/>
      <w:adjustRightInd w:val="0"/>
      <w:spacing w:after="0" w:line="240" w:lineRule="auto"/>
    </w:pPr>
    <w:rPr>
      <w:rFonts w:ascii="Times New Roman" w:hAnsi="Times New Roman" w:cs="Times New Roman"/>
      <w:color w:val="000000"/>
      <w:sz w:val="24"/>
      <w:szCs w:val="24"/>
    </w:rPr>
  </w:style>
  <w:style w:type="paragraph" w:styleId="Bildetekst">
    <w:name w:val="caption"/>
    <w:basedOn w:val="Normal"/>
    <w:next w:val="Normal"/>
    <w:uiPriority w:val="99"/>
    <w:qFormat/>
    <w:rsid w:val="009D660E"/>
    <w:pPr>
      <w:spacing w:before="120" w:after="120" w:line="240" w:lineRule="auto"/>
    </w:pPr>
    <w:rPr>
      <w:rFonts w:ascii="Times" w:eastAsia="Times New Roman" w:hAnsi="Times" w:cs="Times New Roman"/>
      <w:b/>
      <w:sz w:val="24"/>
      <w:szCs w:val="20"/>
      <w:lang w:eastAsia="en-US"/>
    </w:rPr>
  </w:style>
  <w:style w:type="paragraph" w:styleId="Topptekst">
    <w:name w:val="header"/>
    <w:basedOn w:val="Normal"/>
    <w:link w:val="TopptekstTegn"/>
    <w:uiPriority w:val="99"/>
    <w:unhideWhenUsed/>
    <w:rsid w:val="00A9286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2861"/>
  </w:style>
  <w:style w:type="paragraph" w:styleId="Bunntekst">
    <w:name w:val="footer"/>
    <w:basedOn w:val="Normal"/>
    <w:link w:val="BunntekstTegn"/>
    <w:uiPriority w:val="99"/>
    <w:unhideWhenUsed/>
    <w:rsid w:val="00A9286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85589">
      <w:bodyDiv w:val="1"/>
      <w:marLeft w:val="0"/>
      <w:marRight w:val="0"/>
      <w:marTop w:val="0"/>
      <w:marBottom w:val="0"/>
      <w:divBdr>
        <w:top w:val="none" w:sz="0" w:space="0" w:color="auto"/>
        <w:left w:val="none" w:sz="0" w:space="0" w:color="auto"/>
        <w:bottom w:val="none" w:sz="0" w:space="0" w:color="auto"/>
        <w:right w:val="none" w:sz="0" w:space="0" w:color="auto"/>
      </w:divBdr>
    </w:div>
    <w:div w:id="1500806413">
      <w:bodyDiv w:val="1"/>
      <w:marLeft w:val="0"/>
      <w:marRight w:val="0"/>
      <w:marTop w:val="0"/>
      <w:marBottom w:val="0"/>
      <w:divBdr>
        <w:top w:val="none" w:sz="0" w:space="0" w:color="auto"/>
        <w:left w:val="none" w:sz="0" w:space="0" w:color="auto"/>
        <w:bottom w:val="none" w:sz="0" w:space="0" w:color="auto"/>
        <w:right w:val="none" w:sz="0" w:space="0" w:color="auto"/>
      </w:divBdr>
    </w:div>
    <w:div w:id="1586455794">
      <w:bodyDiv w:val="1"/>
      <w:marLeft w:val="0"/>
      <w:marRight w:val="0"/>
      <w:marTop w:val="0"/>
      <w:marBottom w:val="0"/>
      <w:divBdr>
        <w:top w:val="none" w:sz="0" w:space="0" w:color="auto"/>
        <w:left w:val="none" w:sz="0" w:space="0" w:color="auto"/>
        <w:bottom w:val="none" w:sz="0" w:space="0" w:color="auto"/>
        <w:right w:val="none" w:sz="0" w:space="0" w:color="auto"/>
      </w:divBdr>
    </w:div>
    <w:div w:id="17911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46861-A647-4E05-8271-191A8E8E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13266</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2016-09-19T05:33:00Z</cp:lastPrinted>
  <dcterms:created xsi:type="dcterms:W3CDTF">2016-09-21T11:10:00Z</dcterms:created>
  <dcterms:modified xsi:type="dcterms:W3CDTF">2016-09-21T11:10:00Z</dcterms:modified>
</cp:coreProperties>
</file>